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525AFA8">
      <w:pPr>
        <w:jc w:val="both"/>
        <w:rPr>
          <w:rFonts w:hint="eastAsia"/>
          <w:b/>
          <w:sz w:val="44"/>
          <w:szCs w:val="44"/>
        </w:rPr>
      </w:pPr>
      <w:bookmarkStart w:id="0" w:name="_Toc30717_WPSOffice_Type1"/>
    </w:p>
    <w:p w14:paraId="415ED8F9">
      <w:pPr>
        <w:jc w:val="center"/>
        <w:rPr>
          <w:rFonts w:hint="eastAsia"/>
          <w:b/>
          <w:sz w:val="32"/>
          <w:szCs w:val="32"/>
        </w:rPr>
      </w:pPr>
      <w:r>
        <w:rPr>
          <w:rFonts w:hint="eastAsia"/>
          <w:b/>
          <w:sz w:val="32"/>
          <w:szCs w:val="32"/>
        </w:rPr>
        <w:t>项目名称：海南省儿童青少年心理健康医学中心基础办公信息设备采购项目</w:t>
      </w:r>
    </w:p>
    <w:p w14:paraId="5E952F44">
      <w:pPr>
        <w:jc w:val="center"/>
        <w:rPr>
          <w:rFonts w:hint="eastAsia"/>
          <w:b/>
          <w:sz w:val="32"/>
          <w:szCs w:val="32"/>
        </w:rPr>
      </w:pPr>
      <w:r>
        <w:rPr>
          <w:rFonts w:hint="eastAsia"/>
          <w:b/>
          <w:sz w:val="32"/>
          <w:szCs w:val="32"/>
        </w:rPr>
        <w:t>项目编号：HNSHB-20250310</w:t>
      </w:r>
    </w:p>
    <w:p w14:paraId="28B0D80F">
      <w:pPr>
        <w:pBdr>
          <w:top w:val="none" w:color="auto" w:sz="0" w:space="1"/>
          <w:left w:val="none" w:color="auto" w:sz="0" w:space="4"/>
          <w:bottom w:val="none" w:color="auto" w:sz="0" w:space="1"/>
          <w:right w:val="none" w:color="auto" w:sz="0" w:space="4"/>
        </w:pBdr>
        <w:snapToGrid w:val="0"/>
        <w:rPr>
          <w:rFonts w:hint="eastAsia" w:cs="宋体"/>
          <w:kern w:val="0"/>
          <w:sz w:val="28"/>
          <w:szCs w:val="28"/>
        </w:rPr>
      </w:pPr>
    </w:p>
    <w:p w14:paraId="61683AA2">
      <w:pPr>
        <w:pStyle w:val="38"/>
        <w:ind w:firstLine="480"/>
        <w:rPr>
          <w:rFonts w:hint="eastAsia"/>
        </w:rPr>
      </w:pPr>
    </w:p>
    <w:p w14:paraId="17DC7234">
      <w:pPr>
        <w:jc w:val="center"/>
        <w:rPr>
          <w:rFonts w:hint="eastAsia"/>
          <w:b/>
          <w:spacing w:val="100"/>
          <w:sz w:val="30"/>
        </w:rPr>
      </w:pPr>
      <w:r>
        <w:rPr>
          <w:b/>
          <w:spacing w:val="100"/>
          <w:sz w:val="30"/>
        </w:rPr>
        <w:drawing>
          <wp:inline distT="0" distB="0" distL="114300" distR="114300">
            <wp:extent cx="3142615" cy="2085975"/>
            <wp:effectExtent l="0" t="0" r="635" b="9525"/>
            <wp:docPr id="1" name="图片 1" descr="e6b8c19a9f7fb74591941b9c995818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6b8c19a9f7fb74591941b9c995818f"/>
                    <pic:cNvPicPr>
                      <a:picLocks noChangeAspect="1"/>
                    </pic:cNvPicPr>
                  </pic:nvPicPr>
                  <pic:blipFill>
                    <a:blip r:embed="rId9" cstate="print"/>
                    <a:stretch>
                      <a:fillRect/>
                    </a:stretch>
                  </pic:blipFill>
                  <pic:spPr>
                    <a:xfrm>
                      <a:off x="0" y="0"/>
                      <a:ext cx="3142615" cy="2085975"/>
                    </a:xfrm>
                    <a:prstGeom prst="rect">
                      <a:avLst/>
                    </a:prstGeom>
                    <a:noFill/>
                    <a:ln>
                      <a:noFill/>
                    </a:ln>
                  </pic:spPr>
                </pic:pic>
              </a:graphicData>
            </a:graphic>
          </wp:inline>
        </w:drawing>
      </w:r>
    </w:p>
    <w:p w14:paraId="3C681055">
      <w:pPr>
        <w:pBdr>
          <w:top w:val="none" w:color="auto" w:sz="0" w:space="1"/>
          <w:left w:val="none" w:color="auto" w:sz="0" w:space="4"/>
          <w:bottom w:val="none" w:color="auto" w:sz="0" w:space="1"/>
          <w:right w:val="none" w:color="auto" w:sz="0" w:space="4"/>
        </w:pBdr>
        <w:snapToGrid w:val="0"/>
        <w:rPr>
          <w:rFonts w:hint="eastAsia" w:cs="宋体"/>
          <w:kern w:val="0"/>
          <w:sz w:val="28"/>
          <w:szCs w:val="28"/>
        </w:rPr>
      </w:pPr>
    </w:p>
    <w:p w14:paraId="44940582">
      <w:pPr>
        <w:jc w:val="center"/>
        <w:rPr>
          <w:rFonts w:hint="eastAsia"/>
          <w:b/>
          <w:bCs/>
          <w:sz w:val="52"/>
          <w:szCs w:val="52"/>
        </w:rPr>
      </w:pPr>
      <w:r>
        <w:rPr>
          <w:rFonts w:hint="eastAsia"/>
          <w:b/>
          <w:bCs/>
          <w:sz w:val="52"/>
          <w:szCs w:val="52"/>
        </w:rPr>
        <w:t>竞争性磋商文件</w:t>
      </w:r>
    </w:p>
    <w:p w14:paraId="4C05C232">
      <w:pPr>
        <w:pBdr>
          <w:top w:val="none" w:color="auto" w:sz="0" w:space="1"/>
          <w:left w:val="none" w:color="auto" w:sz="0" w:space="4"/>
          <w:bottom w:val="none" w:color="auto" w:sz="0" w:space="1"/>
          <w:right w:val="none" w:color="auto" w:sz="0" w:space="4"/>
        </w:pBdr>
        <w:rPr>
          <w:rFonts w:hint="eastAsia" w:cs="宋体"/>
          <w:kern w:val="0"/>
          <w:sz w:val="28"/>
          <w:szCs w:val="28"/>
        </w:rPr>
      </w:pPr>
    </w:p>
    <w:p w14:paraId="36CFBE76">
      <w:pPr>
        <w:pStyle w:val="12"/>
        <w:spacing w:after="0"/>
        <w:rPr>
          <w:rFonts w:hint="eastAsia" w:cs="宋体"/>
          <w:sz w:val="28"/>
          <w:szCs w:val="28"/>
        </w:rPr>
      </w:pPr>
    </w:p>
    <w:p w14:paraId="60B0B861">
      <w:pPr>
        <w:rPr>
          <w:rFonts w:hint="eastAsia" w:cs="宋体"/>
          <w:kern w:val="0"/>
          <w:sz w:val="28"/>
          <w:szCs w:val="28"/>
        </w:rPr>
      </w:pPr>
    </w:p>
    <w:p w14:paraId="7675C6A7">
      <w:pPr>
        <w:pBdr>
          <w:top w:val="none" w:color="auto" w:sz="0" w:space="1"/>
          <w:left w:val="none" w:color="auto" w:sz="0" w:space="4"/>
          <w:bottom w:val="none" w:color="auto" w:sz="0" w:space="1"/>
          <w:right w:val="none" w:color="auto" w:sz="0" w:space="4"/>
        </w:pBdr>
        <w:rPr>
          <w:rFonts w:hint="eastAsia" w:cs="宋体"/>
          <w:kern w:val="0"/>
          <w:sz w:val="28"/>
          <w:szCs w:val="28"/>
        </w:rPr>
      </w:pPr>
    </w:p>
    <w:p w14:paraId="026BD0BC">
      <w:pPr>
        <w:jc w:val="center"/>
        <w:rPr>
          <w:rFonts w:hint="eastAsia"/>
          <w:b/>
          <w:sz w:val="32"/>
          <w:szCs w:val="32"/>
        </w:rPr>
      </w:pPr>
      <w:r>
        <w:rPr>
          <w:rFonts w:hint="eastAsia"/>
          <w:b/>
          <w:sz w:val="32"/>
          <w:szCs w:val="32"/>
        </w:rPr>
        <w:t>采购人：海南省安宁医院</w:t>
      </w:r>
    </w:p>
    <w:p w14:paraId="61B4D84C">
      <w:pPr>
        <w:jc w:val="center"/>
        <w:rPr>
          <w:rFonts w:hint="eastAsia"/>
          <w:b/>
          <w:sz w:val="32"/>
          <w:szCs w:val="32"/>
        </w:rPr>
      </w:pPr>
      <w:r>
        <w:rPr>
          <w:rFonts w:hint="eastAsia"/>
          <w:b/>
          <w:sz w:val="32"/>
          <w:szCs w:val="32"/>
        </w:rPr>
        <w:t>采购代理机构：海南省实博招标代理有限公司</w:t>
      </w:r>
    </w:p>
    <w:p w14:paraId="6D4B3C6B">
      <w:pPr>
        <w:jc w:val="center"/>
        <w:rPr>
          <w:rFonts w:hint="eastAsia"/>
          <w:b/>
          <w:sz w:val="32"/>
          <w:szCs w:val="32"/>
        </w:rPr>
      </w:pPr>
      <w:r>
        <w:rPr>
          <w:rFonts w:hint="eastAsia"/>
          <w:b/>
          <w:sz w:val="32"/>
          <w:szCs w:val="32"/>
        </w:rPr>
        <w:t>二〇二五年三月</w:t>
      </w:r>
    </w:p>
    <w:p w14:paraId="66EA357B">
      <w:pPr>
        <w:jc w:val="center"/>
        <w:rPr>
          <w:rFonts w:hint="eastAsia" w:cs="宋体"/>
          <w:b/>
          <w:bCs/>
          <w:sz w:val="44"/>
          <w:szCs w:val="52"/>
        </w:rPr>
      </w:pPr>
      <w:r>
        <w:rPr>
          <w:rFonts w:cs="宋体"/>
          <w:b/>
          <w:bCs/>
          <w:sz w:val="44"/>
          <w:szCs w:val="52"/>
        </w:rPr>
        <w:br w:type="page"/>
      </w:r>
      <w:r>
        <w:rPr>
          <w:rFonts w:hint="eastAsia" w:cs="宋体"/>
          <w:b/>
          <w:bCs/>
          <w:sz w:val="44"/>
          <w:szCs w:val="52"/>
        </w:rPr>
        <w:t>目  录</w:t>
      </w:r>
    </w:p>
    <w:p w14:paraId="5BFD7AE3">
      <w:pPr>
        <w:jc w:val="center"/>
        <w:rPr>
          <w:rFonts w:hint="eastAsia" w:cs="宋体"/>
          <w:b/>
          <w:bCs/>
          <w:sz w:val="44"/>
          <w:szCs w:val="52"/>
        </w:rPr>
      </w:pPr>
    </w:p>
    <w:bookmarkEnd w:id="0"/>
    <w:p w14:paraId="374966C6">
      <w:pPr>
        <w:pStyle w:val="20"/>
        <w:rPr>
          <w:rFonts w:asciiTheme="minorHAnsi" w:hAnsiTheme="minorHAnsi" w:eastAsiaTheme="minorEastAsia" w:cstheme="minorBidi"/>
          <w:sz w:val="22"/>
          <w14:ligatures w14:val="standardContextual"/>
        </w:rPr>
      </w:pPr>
      <w:r>
        <w:rPr>
          <w:rFonts w:cs="宋体"/>
        </w:rPr>
        <w:fldChar w:fldCharType="begin"/>
      </w:r>
      <w:r>
        <w:rPr>
          <w:rFonts w:cs="宋体"/>
        </w:rPr>
        <w:instrText xml:space="preserve"> TOC \o "1-1" \h \z \u </w:instrText>
      </w:r>
      <w:r>
        <w:rPr>
          <w:rFonts w:cs="宋体"/>
        </w:rPr>
        <w:fldChar w:fldCharType="separate"/>
      </w:r>
      <w:r>
        <w:fldChar w:fldCharType="begin"/>
      </w:r>
      <w:r>
        <w:instrText xml:space="preserve"> HYPERLINK \l "_Toc194273469" </w:instrText>
      </w:r>
      <w:r>
        <w:fldChar w:fldCharType="separate"/>
      </w:r>
      <w:r>
        <w:rPr>
          <w:rStyle w:val="36"/>
          <w:rFonts w:hint="eastAsia" w:cs="宋体"/>
          <w:color w:val="auto"/>
        </w:rPr>
        <w:t xml:space="preserve">第一章  </w:t>
      </w:r>
      <w:r>
        <w:rPr>
          <w:rStyle w:val="36"/>
          <w:rFonts w:hint="eastAsia"/>
          <w:color w:val="auto"/>
        </w:rPr>
        <w:t>磋商邀请函</w:t>
      </w:r>
      <w:r>
        <w:rPr>
          <w:rFonts w:hint="eastAsia"/>
        </w:rPr>
        <w:tab/>
      </w:r>
      <w:r>
        <w:rPr>
          <w:rFonts w:hint="eastAsia"/>
        </w:rPr>
        <w:fldChar w:fldCharType="begin"/>
      </w:r>
      <w:r>
        <w:rPr>
          <w:rFonts w:hint="eastAsia"/>
        </w:rPr>
        <w:instrText xml:space="preserve"> </w:instrText>
      </w:r>
      <w:r>
        <w:instrText xml:space="preserve">PAGEREF _Toc194273469 \h</w:instrText>
      </w:r>
      <w:r>
        <w:rPr>
          <w:rFonts w:hint="eastAsia"/>
        </w:rPr>
        <w:instrText xml:space="preserve"> </w:instrText>
      </w:r>
      <w:r>
        <w:rPr>
          <w:rFonts w:hint="eastAsia"/>
        </w:rPr>
        <w:fldChar w:fldCharType="separate"/>
      </w:r>
      <w:r>
        <w:rPr>
          <w:rFonts w:hint="eastAsia"/>
        </w:rPr>
        <w:t>1</w:t>
      </w:r>
      <w:r>
        <w:rPr>
          <w:rFonts w:hint="eastAsia"/>
        </w:rPr>
        <w:fldChar w:fldCharType="end"/>
      </w:r>
      <w:r>
        <w:rPr>
          <w:rFonts w:hint="eastAsia"/>
        </w:rPr>
        <w:fldChar w:fldCharType="end"/>
      </w:r>
    </w:p>
    <w:p w14:paraId="4B458700">
      <w:pPr>
        <w:pStyle w:val="20"/>
        <w:rPr>
          <w:rFonts w:asciiTheme="minorHAnsi" w:hAnsiTheme="minorHAnsi" w:eastAsiaTheme="minorEastAsia" w:cstheme="minorBidi"/>
          <w:sz w:val="22"/>
          <w14:ligatures w14:val="standardContextual"/>
        </w:rPr>
      </w:pPr>
      <w:r>
        <w:fldChar w:fldCharType="begin"/>
      </w:r>
      <w:r>
        <w:instrText xml:space="preserve"> HYPERLINK \l "_Toc194273470" </w:instrText>
      </w:r>
      <w:r>
        <w:fldChar w:fldCharType="separate"/>
      </w:r>
      <w:r>
        <w:rPr>
          <w:rStyle w:val="36"/>
          <w:rFonts w:hint="eastAsia" w:cs="宋体"/>
          <w:color w:val="auto"/>
        </w:rPr>
        <w:t>第二章  供应商须知</w:t>
      </w:r>
      <w:r>
        <w:rPr>
          <w:rFonts w:hint="eastAsia"/>
        </w:rPr>
        <w:tab/>
      </w:r>
      <w:r>
        <w:rPr>
          <w:rFonts w:hint="eastAsia"/>
        </w:rPr>
        <w:fldChar w:fldCharType="begin"/>
      </w:r>
      <w:r>
        <w:rPr>
          <w:rFonts w:hint="eastAsia"/>
        </w:rPr>
        <w:instrText xml:space="preserve"> </w:instrText>
      </w:r>
      <w:r>
        <w:instrText xml:space="preserve">PAGEREF _Toc194273470 \h</w:instrText>
      </w:r>
      <w:r>
        <w:rPr>
          <w:rFonts w:hint="eastAsia"/>
        </w:rPr>
        <w:instrText xml:space="preserve"> </w:instrText>
      </w:r>
      <w:r>
        <w:rPr>
          <w:rFonts w:hint="eastAsia"/>
        </w:rPr>
        <w:fldChar w:fldCharType="separate"/>
      </w:r>
      <w:r>
        <w:rPr>
          <w:rFonts w:hint="eastAsia"/>
        </w:rPr>
        <w:t>4</w:t>
      </w:r>
      <w:r>
        <w:rPr>
          <w:rFonts w:hint="eastAsia"/>
        </w:rPr>
        <w:fldChar w:fldCharType="end"/>
      </w:r>
      <w:r>
        <w:rPr>
          <w:rFonts w:hint="eastAsia"/>
        </w:rPr>
        <w:fldChar w:fldCharType="end"/>
      </w:r>
    </w:p>
    <w:p w14:paraId="02467576">
      <w:pPr>
        <w:pStyle w:val="20"/>
        <w:rPr>
          <w:rFonts w:asciiTheme="minorHAnsi" w:hAnsiTheme="minorHAnsi" w:eastAsiaTheme="minorEastAsia" w:cstheme="minorBidi"/>
          <w:sz w:val="22"/>
          <w14:ligatures w14:val="standardContextual"/>
        </w:rPr>
      </w:pPr>
      <w:r>
        <w:fldChar w:fldCharType="begin"/>
      </w:r>
      <w:r>
        <w:instrText xml:space="preserve"> HYPERLINK \l "_Toc194273471" </w:instrText>
      </w:r>
      <w:r>
        <w:fldChar w:fldCharType="separate"/>
      </w:r>
      <w:r>
        <w:rPr>
          <w:rStyle w:val="36"/>
          <w:rFonts w:hint="eastAsia"/>
          <w:color w:val="auto"/>
        </w:rPr>
        <w:t>第三章  采购需求</w:t>
      </w:r>
      <w:r>
        <w:rPr>
          <w:rFonts w:hint="eastAsia"/>
        </w:rPr>
        <w:tab/>
      </w:r>
      <w:r>
        <w:rPr>
          <w:rFonts w:hint="eastAsia"/>
        </w:rPr>
        <w:fldChar w:fldCharType="begin"/>
      </w:r>
      <w:r>
        <w:rPr>
          <w:rFonts w:hint="eastAsia"/>
        </w:rPr>
        <w:instrText xml:space="preserve"> </w:instrText>
      </w:r>
      <w:r>
        <w:instrText xml:space="preserve">PAGEREF _Toc194273471 \h</w:instrText>
      </w:r>
      <w:r>
        <w:rPr>
          <w:rFonts w:hint="eastAsia"/>
        </w:rPr>
        <w:instrText xml:space="preserve"> </w:instrText>
      </w:r>
      <w:r>
        <w:rPr>
          <w:rFonts w:hint="eastAsia"/>
        </w:rPr>
        <w:fldChar w:fldCharType="separate"/>
      </w:r>
      <w:r>
        <w:rPr>
          <w:rFonts w:hint="eastAsia"/>
        </w:rPr>
        <w:t>19</w:t>
      </w:r>
      <w:r>
        <w:rPr>
          <w:rFonts w:hint="eastAsia"/>
        </w:rPr>
        <w:fldChar w:fldCharType="end"/>
      </w:r>
      <w:r>
        <w:rPr>
          <w:rFonts w:hint="eastAsia"/>
        </w:rPr>
        <w:fldChar w:fldCharType="end"/>
      </w:r>
    </w:p>
    <w:p w14:paraId="7238B2CD">
      <w:pPr>
        <w:pStyle w:val="20"/>
        <w:rPr>
          <w:rFonts w:asciiTheme="minorHAnsi" w:hAnsiTheme="minorHAnsi" w:eastAsiaTheme="minorEastAsia" w:cstheme="minorBidi"/>
          <w:sz w:val="22"/>
          <w14:ligatures w14:val="standardContextual"/>
        </w:rPr>
      </w:pPr>
      <w:r>
        <w:fldChar w:fldCharType="begin"/>
      </w:r>
      <w:r>
        <w:instrText xml:space="preserve"> HYPERLINK \l "_Toc194273472" </w:instrText>
      </w:r>
      <w:r>
        <w:fldChar w:fldCharType="separate"/>
      </w:r>
      <w:r>
        <w:rPr>
          <w:rStyle w:val="36"/>
          <w:rFonts w:hint="eastAsia" w:cs="宋体"/>
          <w:color w:val="auto"/>
        </w:rPr>
        <w:t>第四章  评审方法、标准及程序</w:t>
      </w:r>
      <w:r>
        <w:rPr>
          <w:rFonts w:hint="eastAsia"/>
        </w:rPr>
        <w:tab/>
      </w:r>
      <w:r>
        <w:rPr>
          <w:rFonts w:hint="eastAsia"/>
        </w:rPr>
        <w:fldChar w:fldCharType="begin"/>
      </w:r>
      <w:r>
        <w:rPr>
          <w:rFonts w:hint="eastAsia"/>
        </w:rPr>
        <w:instrText xml:space="preserve"> </w:instrText>
      </w:r>
      <w:r>
        <w:instrText xml:space="preserve">PAGEREF _Toc194273472 \h</w:instrText>
      </w:r>
      <w:r>
        <w:rPr>
          <w:rFonts w:hint="eastAsia"/>
        </w:rPr>
        <w:instrText xml:space="preserve"> </w:instrText>
      </w:r>
      <w:r>
        <w:rPr>
          <w:rFonts w:hint="eastAsia"/>
        </w:rPr>
        <w:fldChar w:fldCharType="separate"/>
      </w:r>
      <w:r>
        <w:rPr>
          <w:rFonts w:hint="eastAsia"/>
        </w:rPr>
        <w:t>33</w:t>
      </w:r>
      <w:r>
        <w:rPr>
          <w:rFonts w:hint="eastAsia"/>
        </w:rPr>
        <w:fldChar w:fldCharType="end"/>
      </w:r>
      <w:r>
        <w:rPr>
          <w:rFonts w:hint="eastAsia"/>
        </w:rPr>
        <w:fldChar w:fldCharType="end"/>
      </w:r>
    </w:p>
    <w:p w14:paraId="0E5C151C">
      <w:pPr>
        <w:pStyle w:val="20"/>
        <w:rPr>
          <w:rFonts w:asciiTheme="minorHAnsi" w:hAnsiTheme="minorHAnsi" w:eastAsiaTheme="minorEastAsia" w:cstheme="minorBidi"/>
          <w:sz w:val="22"/>
          <w14:ligatures w14:val="standardContextual"/>
        </w:rPr>
      </w:pPr>
      <w:r>
        <w:fldChar w:fldCharType="begin"/>
      </w:r>
      <w:r>
        <w:instrText xml:space="preserve"> HYPERLINK \l "_Toc194273473" </w:instrText>
      </w:r>
      <w:r>
        <w:fldChar w:fldCharType="separate"/>
      </w:r>
      <w:r>
        <w:rPr>
          <w:rStyle w:val="36"/>
          <w:rFonts w:hint="eastAsia" w:cs="宋体"/>
          <w:color w:val="auto"/>
        </w:rPr>
        <w:t>第五章  合同草案条款</w:t>
      </w:r>
      <w:r>
        <w:rPr>
          <w:rFonts w:hint="eastAsia"/>
        </w:rPr>
        <w:tab/>
      </w:r>
      <w:r>
        <w:rPr>
          <w:rFonts w:hint="eastAsia"/>
        </w:rPr>
        <w:fldChar w:fldCharType="begin"/>
      </w:r>
      <w:r>
        <w:rPr>
          <w:rFonts w:hint="eastAsia"/>
        </w:rPr>
        <w:instrText xml:space="preserve"> </w:instrText>
      </w:r>
      <w:r>
        <w:instrText xml:space="preserve">PAGEREF _Toc194273473 \h</w:instrText>
      </w:r>
      <w:r>
        <w:rPr>
          <w:rFonts w:hint="eastAsia"/>
        </w:rPr>
        <w:instrText xml:space="preserve"> </w:instrText>
      </w:r>
      <w:r>
        <w:rPr>
          <w:rFonts w:hint="eastAsia"/>
        </w:rPr>
        <w:fldChar w:fldCharType="separate"/>
      </w:r>
      <w:r>
        <w:rPr>
          <w:rFonts w:hint="eastAsia"/>
        </w:rPr>
        <w:t>39</w:t>
      </w:r>
      <w:r>
        <w:rPr>
          <w:rFonts w:hint="eastAsia"/>
        </w:rPr>
        <w:fldChar w:fldCharType="end"/>
      </w:r>
      <w:r>
        <w:rPr>
          <w:rFonts w:hint="eastAsia"/>
        </w:rPr>
        <w:fldChar w:fldCharType="end"/>
      </w:r>
    </w:p>
    <w:p w14:paraId="212F4F5E">
      <w:pPr>
        <w:pStyle w:val="20"/>
        <w:rPr>
          <w:rFonts w:asciiTheme="minorHAnsi" w:hAnsiTheme="minorHAnsi" w:eastAsiaTheme="minorEastAsia" w:cstheme="minorBidi"/>
          <w:sz w:val="22"/>
          <w14:ligatures w14:val="standardContextual"/>
        </w:rPr>
      </w:pPr>
      <w:r>
        <w:fldChar w:fldCharType="begin"/>
      </w:r>
      <w:r>
        <w:instrText xml:space="preserve"> HYPERLINK \l "_Toc194273474" </w:instrText>
      </w:r>
      <w:r>
        <w:fldChar w:fldCharType="separate"/>
      </w:r>
      <w:r>
        <w:rPr>
          <w:rStyle w:val="36"/>
          <w:rFonts w:hint="eastAsia"/>
          <w:color w:val="auto"/>
        </w:rPr>
        <w:t>第六章  响应文件内容和格式</w:t>
      </w:r>
      <w:r>
        <w:rPr>
          <w:rFonts w:hint="eastAsia"/>
        </w:rPr>
        <w:tab/>
      </w:r>
      <w:r>
        <w:rPr>
          <w:rFonts w:hint="eastAsia"/>
        </w:rPr>
        <w:fldChar w:fldCharType="begin"/>
      </w:r>
      <w:r>
        <w:rPr>
          <w:rFonts w:hint="eastAsia"/>
        </w:rPr>
        <w:instrText xml:space="preserve"> </w:instrText>
      </w:r>
      <w:r>
        <w:instrText xml:space="preserve">PAGEREF _Toc194273474 \h</w:instrText>
      </w:r>
      <w:r>
        <w:rPr>
          <w:rFonts w:hint="eastAsia"/>
        </w:rPr>
        <w:instrText xml:space="preserve"> </w:instrText>
      </w:r>
      <w:r>
        <w:rPr>
          <w:rFonts w:hint="eastAsia"/>
        </w:rPr>
        <w:fldChar w:fldCharType="separate"/>
      </w:r>
      <w:r>
        <w:rPr>
          <w:rFonts w:hint="eastAsia"/>
        </w:rPr>
        <w:t>42</w:t>
      </w:r>
      <w:r>
        <w:rPr>
          <w:rFonts w:hint="eastAsia"/>
        </w:rPr>
        <w:fldChar w:fldCharType="end"/>
      </w:r>
      <w:r>
        <w:rPr>
          <w:rFonts w:hint="eastAsia"/>
        </w:rPr>
        <w:fldChar w:fldCharType="end"/>
      </w:r>
    </w:p>
    <w:p w14:paraId="448DEC13">
      <w:pPr>
        <w:pStyle w:val="19"/>
        <w:tabs>
          <w:tab w:val="clear" w:pos="4153"/>
          <w:tab w:val="clear" w:pos="8306"/>
        </w:tabs>
        <w:snapToGrid/>
        <w:rPr>
          <w:rFonts w:hint="eastAsia" w:cs="宋体"/>
          <w:sz w:val="24"/>
          <w:szCs w:val="24"/>
        </w:rPr>
      </w:pPr>
      <w:r>
        <w:rPr>
          <w:rFonts w:cs="宋体"/>
          <w:kern w:val="2"/>
          <w:sz w:val="32"/>
          <w:szCs w:val="24"/>
        </w:rPr>
        <w:fldChar w:fldCharType="end"/>
      </w:r>
    </w:p>
    <w:p w14:paraId="39DF66EA">
      <w:pPr>
        <w:rPr>
          <w:rFonts w:hint="eastAsia" w:cs="宋体"/>
          <w:b/>
          <w:kern w:val="0"/>
          <w:sz w:val="36"/>
          <w:szCs w:val="36"/>
        </w:rPr>
      </w:pPr>
    </w:p>
    <w:p w14:paraId="1980BAD3">
      <w:pPr>
        <w:pStyle w:val="2"/>
        <w:jc w:val="both"/>
        <w:rPr>
          <w:rFonts w:hint="eastAsia" w:ascii="宋体" w:hAnsi="宋体" w:cs="宋体"/>
        </w:rPr>
        <w:sectPr>
          <w:headerReference r:id="rId5" w:type="default"/>
          <w:footerReference r:id="rId6" w:type="default"/>
          <w:pgSz w:w="11906" w:h="16838"/>
          <w:pgMar w:top="1418" w:right="1418" w:bottom="1418" w:left="1418" w:header="851" w:footer="437" w:gutter="0"/>
          <w:cols w:space="720" w:num="1"/>
          <w:titlePg/>
          <w:docGrid w:linePitch="312" w:charSpace="0"/>
        </w:sectPr>
      </w:pPr>
    </w:p>
    <w:p w14:paraId="759F3DCD">
      <w:pPr>
        <w:pStyle w:val="2"/>
        <w:rPr>
          <w:rFonts w:hint="eastAsia" w:ascii="宋体" w:hAnsi="宋体"/>
          <w:szCs w:val="32"/>
        </w:rPr>
      </w:pPr>
      <w:bookmarkStart w:id="1" w:name="_Toc194273469"/>
      <w:bookmarkStart w:id="2" w:name="_Toc16535_WPSOffice_Level1"/>
      <w:bookmarkStart w:id="3" w:name="_Toc11507"/>
      <w:r>
        <w:rPr>
          <w:rFonts w:hint="eastAsia" w:ascii="宋体" w:hAnsi="宋体" w:cs="宋体"/>
          <w:szCs w:val="32"/>
        </w:rPr>
        <w:t xml:space="preserve">第一章  </w:t>
      </w:r>
      <w:r>
        <w:rPr>
          <w:rFonts w:hint="eastAsia" w:ascii="宋体" w:hAnsi="宋体"/>
          <w:szCs w:val="32"/>
        </w:rPr>
        <w:t>磋商邀请函</w:t>
      </w:r>
      <w:bookmarkEnd w:id="1"/>
    </w:p>
    <w:p w14:paraId="0E5DF819">
      <w:pPr>
        <w:jc w:val="center"/>
        <w:rPr>
          <w:rFonts w:hint="eastAsia" w:cs="宋体"/>
          <w:sz w:val="32"/>
          <w:szCs w:val="32"/>
        </w:rPr>
      </w:pPr>
    </w:p>
    <w:p w14:paraId="77530047">
      <w:pPr>
        <w:ind w:firstLine="480" w:firstLineChars="200"/>
        <w:jc w:val="both"/>
        <w:rPr>
          <w:rFonts w:hint="eastAsia"/>
        </w:rPr>
      </w:pPr>
      <w:r>
        <w:rPr>
          <w:rFonts w:hint="eastAsia"/>
        </w:rPr>
        <w:t>项目概况</w:t>
      </w:r>
    </w:p>
    <w:p w14:paraId="0F783334">
      <w:pPr>
        <w:ind w:firstLine="480" w:firstLineChars="200"/>
        <w:jc w:val="both"/>
        <w:rPr>
          <w:rFonts w:hint="eastAsia"/>
        </w:rPr>
      </w:pPr>
      <w:r>
        <w:rPr>
          <w:rFonts w:hint="eastAsia"/>
          <w:u w:val="single"/>
        </w:rPr>
        <w:t>海南省儿童青少年心理健康医学中心基础办公信息设备采购项目</w:t>
      </w:r>
      <w:r>
        <w:rPr>
          <w:rFonts w:hint="eastAsia"/>
        </w:rPr>
        <w:t>的潜在供应商应在</w:t>
      </w:r>
      <w:r>
        <w:rPr>
          <w:rFonts w:hint="eastAsia"/>
          <w:u w:val="single"/>
        </w:rPr>
        <w:t>海南省海口市秀英区永万路22号海南省实博招标代理有限公司</w:t>
      </w:r>
      <w:r>
        <w:rPr>
          <w:rFonts w:hint="eastAsia"/>
        </w:rPr>
        <w:t>获取采购文件，并于</w:t>
      </w:r>
      <w:r>
        <w:rPr>
          <w:u w:val="single"/>
        </w:rPr>
        <w:t>2025年  月  日09点00分</w:t>
      </w:r>
      <w:r>
        <w:rPr>
          <w:rFonts w:hint="eastAsia"/>
          <w:u w:val="single"/>
        </w:rPr>
        <w:t>（北京时间）</w:t>
      </w:r>
      <w:r>
        <w:rPr>
          <w:rFonts w:hint="eastAsia"/>
        </w:rPr>
        <w:t>前提交响应文件。</w:t>
      </w:r>
    </w:p>
    <w:p w14:paraId="3FF4CE17">
      <w:pPr>
        <w:pStyle w:val="3"/>
        <w:rPr>
          <w:szCs w:val="28"/>
        </w:rPr>
      </w:pPr>
      <w:bookmarkStart w:id="4" w:name="_Toc28359089"/>
      <w:bookmarkStart w:id="5" w:name="_Toc28359012"/>
      <w:bookmarkStart w:id="6" w:name="_Toc35393798"/>
      <w:bookmarkStart w:id="7" w:name="_Toc35393629"/>
      <w:r>
        <w:rPr>
          <w:rFonts w:hint="eastAsia"/>
          <w:szCs w:val="28"/>
        </w:rPr>
        <w:t>一、项目基本情况</w:t>
      </w:r>
      <w:bookmarkEnd w:id="4"/>
      <w:bookmarkEnd w:id="5"/>
      <w:bookmarkEnd w:id="6"/>
      <w:bookmarkEnd w:id="7"/>
    </w:p>
    <w:p w14:paraId="0297720D">
      <w:pPr>
        <w:ind w:firstLine="480" w:firstLineChars="200"/>
        <w:rPr>
          <w:rFonts w:hint="eastAsia"/>
        </w:rPr>
      </w:pPr>
      <w:r>
        <w:rPr>
          <w:rFonts w:hint="eastAsia"/>
        </w:rPr>
        <w:t>项目编号：</w:t>
      </w:r>
      <w:r>
        <w:rPr>
          <w:rFonts w:hint="eastAsia"/>
          <w:bCs/>
        </w:rPr>
        <w:t>HNSHB-20250310</w:t>
      </w:r>
    </w:p>
    <w:p w14:paraId="28215C69">
      <w:pPr>
        <w:ind w:firstLine="480" w:firstLineChars="200"/>
        <w:rPr>
          <w:rFonts w:hint="eastAsia"/>
          <w:u w:val="single"/>
        </w:rPr>
      </w:pPr>
      <w:r>
        <w:rPr>
          <w:rFonts w:hint="eastAsia"/>
        </w:rPr>
        <w:t>项目名称：</w:t>
      </w:r>
      <w:r>
        <w:rPr>
          <w:rFonts w:hint="eastAsia" w:cs="宋体"/>
          <w:kern w:val="0"/>
        </w:rPr>
        <w:t>海南省儿童青少年心理健康医学中心基础办公信息设备采购项目</w:t>
      </w:r>
    </w:p>
    <w:p w14:paraId="25570F8D">
      <w:pPr>
        <w:ind w:firstLine="480" w:firstLineChars="200"/>
        <w:rPr>
          <w:rFonts w:hint="eastAsia"/>
        </w:rPr>
      </w:pPr>
      <w:r>
        <w:rPr>
          <w:rFonts w:hint="eastAsia"/>
        </w:rPr>
        <w:t>采购方式：竞争性磋商</w:t>
      </w:r>
    </w:p>
    <w:p w14:paraId="5E1360CF">
      <w:pPr>
        <w:ind w:firstLine="480" w:firstLineChars="200"/>
        <w:rPr>
          <w:rFonts w:hint="eastAsia"/>
        </w:rPr>
      </w:pPr>
      <w:bookmarkStart w:id="8" w:name="_Toc35393799"/>
      <w:bookmarkStart w:id="9" w:name="_Toc28359013"/>
      <w:bookmarkStart w:id="10" w:name="_Toc28359090"/>
      <w:bookmarkStart w:id="11" w:name="_Toc35393630"/>
      <w:r>
        <w:rPr>
          <w:rFonts w:hint="eastAsia"/>
        </w:rPr>
        <w:t>预算金额：</w:t>
      </w:r>
      <w:r>
        <w:rPr>
          <w:rFonts w:hint="eastAsia" w:cs="宋体"/>
          <w:bCs/>
          <w:u w:val="single"/>
        </w:rPr>
        <w:t>¥725310.00元</w:t>
      </w:r>
    </w:p>
    <w:p w14:paraId="7CA8E794">
      <w:pPr>
        <w:ind w:firstLine="480" w:firstLineChars="200"/>
        <w:rPr>
          <w:rFonts w:hint="eastAsia"/>
        </w:rPr>
      </w:pPr>
      <w:r>
        <w:rPr>
          <w:rFonts w:hint="eastAsia"/>
        </w:rPr>
        <w:t>最高限价（如有）：</w:t>
      </w:r>
      <w:r>
        <w:rPr>
          <w:rFonts w:hint="eastAsia" w:cs="宋体"/>
          <w:bCs/>
          <w:u w:val="single"/>
        </w:rPr>
        <w:t>¥725310.00元。</w:t>
      </w:r>
    </w:p>
    <w:p w14:paraId="7D8EB412">
      <w:pPr>
        <w:ind w:firstLine="480" w:firstLineChars="200"/>
        <w:rPr>
          <w:rFonts w:hint="eastAsia"/>
        </w:rPr>
      </w:pPr>
      <w:r>
        <w:rPr>
          <w:rFonts w:hint="eastAsia"/>
        </w:rPr>
        <w:t>采购需求：</w:t>
      </w:r>
      <w:r>
        <w:rPr>
          <w:rFonts w:hint="eastAsia" w:cs="宋体"/>
        </w:rPr>
        <w:t>海南省儿童青少年心理健康医学中心基础办公信息设备采购项目，</w:t>
      </w:r>
      <w:r>
        <w:rPr>
          <w:rFonts w:cs="宋体"/>
        </w:rPr>
        <w:t>详见磋商文件第三章《采购需求》。</w:t>
      </w:r>
    </w:p>
    <w:p w14:paraId="2778AF03">
      <w:pPr>
        <w:ind w:firstLine="480" w:firstLineChars="200"/>
        <w:rPr>
          <w:rFonts w:hint="eastAsia"/>
        </w:rPr>
      </w:pPr>
      <w:r>
        <w:rPr>
          <w:rFonts w:hint="eastAsia"/>
        </w:rPr>
        <w:t>合同履行期限：自合同签订之日起90个日历天完成供货安装调试</w:t>
      </w:r>
      <w:r>
        <w:t>。</w:t>
      </w:r>
    </w:p>
    <w:p w14:paraId="7A7E7E95">
      <w:pPr>
        <w:ind w:firstLine="480" w:firstLineChars="200"/>
        <w:rPr>
          <w:rFonts w:hint="eastAsia"/>
        </w:rPr>
      </w:pPr>
      <w:r>
        <w:rPr>
          <w:rFonts w:hint="eastAsia"/>
        </w:rPr>
        <w:t>本项目不接受联合体。</w:t>
      </w:r>
    </w:p>
    <w:p w14:paraId="514FCFD1">
      <w:pPr>
        <w:pStyle w:val="3"/>
      </w:pPr>
      <w:r>
        <w:rPr>
          <w:rFonts w:hint="eastAsia"/>
        </w:rPr>
        <w:t>二、申请人的资格要求：</w:t>
      </w:r>
      <w:bookmarkEnd w:id="8"/>
      <w:bookmarkEnd w:id="9"/>
      <w:bookmarkEnd w:id="10"/>
      <w:bookmarkEnd w:id="11"/>
    </w:p>
    <w:p w14:paraId="7B33DAC4">
      <w:pPr>
        <w:ind w:firstLine="480" w:firstLineChars="200"/>
        <w:rPr>
          <w:rFonts w:hint="eastAsia"/>
        </w:rPr>
      </w:pPr>
      <w:bookmarkStart w:id="12" w:name="_Toc35393800"/>
      <w:bookmarkStart w:id="13" w:name="_Toc35393631"/>
      <w:bookmarkStart w:id="14" w:name="_Toc28359014"/>
      <w:bookmarkStart w:id="15" w:name="_Toc28359091"/>
      <w:r>
        <w:rPr>
          <w:rFonts w:hint="eastAsia"/>
        </w:rPr>
        <w:t>1.满足《中华人民共和国政府采购法》第二十二条规定。</w:t>
      </w:r>
    </w:p>
    <w:p w14:paraId="527B0BB5">
      <w:pPr>
        <w:ind w:firstLine="480" w:firstLineChars="200"/>
        <w:rPr>
          <w:rFonts w:hint="eastAsia"/>
        </w:rPr>
      </w:pPr>
      <w:r>
        <w:rPr>
          <w:rFonts w:hint="eastAsia"/>
        </w:rPr>
        <w:t>2.落实政府采购政策需满足的资格要求：</w:t>
      </w:r>
      <w:r>
        <w:rPr>
          <w:rFonts w:hint="eastAsia"/>
          <w:u w:val="single"/>
        </w:rPr>
        <w:t>无。</w:t>
      </w:r>
    </w:p>
    <w:p w14:paraId="1F13D5C8">
      <w:pPr>
        <w:ind w:firstLine="480" w:firstLineChars="200"/>
        <w:rPr>
          <w:rFonts w:hint="eastAsia"/>
        </w:rPr>
      </w:pPr>
      <w:r>
        <w:rPr>
          <w:rFonts w:hint="eastAsia"/>
        </w:rPr>
        <w:t>3.本项目的特定资格要求：</w:t>
      </w:r>
      <w:r>
        <w:rPr>
          <w:rFonts w:hint="eastAsia"/>
          <w:u w:val="single"/>
        </w:rPr>
        <w:t>无。</w:t>
      </w:r>
    </w:p>
    <w:p w14:paraId="11055F64">
      <w:pPr>
        <w:pStyle w:val="3"/>
      </w:pPr>
      <w:r>
        <w:rPr>
          <w:rFonts w:hint="eastAsia"/>
        </w:rPr>
        <w:t>三、获取采购文件</w:t>
      </w:r>
      <w:bookmarkEnd w:id="12"/>
      <w:bookmarkEnd w:id="13"/>
      <w:bookmarkEnd w:id="14"/>
      <w:bookmarkEnd w:id="15"/>
    </w:p>
    <w:p w14:paraId="58DBDDB0">
      <w:pPr>
        <w:ind w:firstLine="480" w:firstLineChars="200"/>
        <w:rPr>
          <w:rFonts w:hint="eastAsia" w:cs="宋体"/>
        </w:rPr>
      </w:pPr>
      <w:r>
        <w:rPr>
          <w:rFonts w:hint="eastAsia" w:cs="宋体"/>
        </w:rPr>
        <w:t>时间：</w:t>
      </w:r>
      <w:r>
        <w:rPr>
          <w:rFonts w:cs="宋体"/>
          <w:u w:val="single"/>
        </w:rPr>
        <w:t>202</w:t>
      </w:r>
      <w:r>
        <w:rPr>
          <w:rFonts w:hint="eastAsia" w:cs="宋体"/>
          <w:u w:val="single"/>
        </w:rPr>
        <w:t>5</w:t>
      </w:r>
      <w:r>
        <w:rPr>
          <w:rFonts w:cs="宋体"/>
          <w:u w:val="single"/>
        </w:rPr>
        <w:t>年</w:t>
      </w:r>
      <w:r>
        <w:rPr>
          <w:rFonts w:hint="eastAsia" w:cs="宋体"/>
          <w:u w:val="single"/>
        </w:rPr>
        <w:t xml:space="preserve">  </w:t>
      </w:r>
      <w:r>
        <w:rPr>
          <w:rFonts w:cs="宋体"/>
          <w:u w:val="single"/>
        </w:rPr>
        <w:t>月</w:t>
      </w:r>
      <w:r>
        <w:rPr>
          <w:rFonts w:hint="eastAsia" w:cs="宋体"/>
          <w:u w:val="single"/>
        </w:rPr>
        <w:t xml:space="preserve">  </w:t>
      </w:r>
      <w:r>
        <w:rPr>
          <w:rFonts w:cs="宋体"/>
          <w:u w:val="single"/>
        </w:rPr>
        <w:t>日至202</w:t>
      </w:r>
      <w:r>
        <w:rPr>
          <w:rFonts w:hint="eastAsia" w:cs="宋体"/>
          <w:u w:val="single"/>
        </w:rPr>
        <w:t>5</w:t>
      </w:r>
      <w:r>
        <w:rPr>
          <w:rFonts w:cs="宋体"/>
          <w:u w:val="single"/>
        </w:rPr>
        <w:t>年</w:t>
      </w:r>
      <w:r>
        <w:rPr>
          <w:rFonts w:hint="eastAsia" w:cs="宋体"/>
          <w:u w:val="single"/>
        </w:rPr>
        <w:t xml:space="preserve">  </w:t>
      </w:r>
      <w:r>
        <w:rPr>
          <w:rFonts w:cs="宋体"/>
          <w:u w:val="single"/>
        </w:rPr>
        <w:t>月</w:t>
      </w:r>
      <w:r>
        <w:rPr>
          <w:rFonts w:hint="eastAsia" w:cs="宋体"/>
          <w:u w:val="single"/>
        </w:rPr>
        <w:t xml:space="preserve">  </w:t>
      </w:r>
      <w:r>
        <w:rPr>
          <w:rFonts w:cs="宋体"/>
          <w:u w:val="single"/>
        </w:rPr>
        <w:t>日</w:t>
      </w:r>
      <w:r>
        <w:rPr>
          <w:rFonts w:hint="eastAsia"/>
        </w:rPr>
        <w:t>，每天上午</w:t>
      </w:r>
      <w:r>
        <w:rPr>
          <w:rFonts w:hint="eastAsia"/>
          <w:u w:val="single"/>
        </w:rPr>
        <w:t>09:00</w:t>
      </w:r>
      <w:r>
        <w:rPr>
          <w:rFonts w:hint="eastAsia"/>
        </w:rPr>
        <w:t>至</w:t>
      </w:r>
      <w:r>
        <w:rPr>
          <w:rFonts w:hint="eastAsia"/>
          <w:u w:val="single"/>
        </w:rPr>
        <w:t>12:00</w:t>
      </w:r>
      <w:r>
        <w:rPr>
          <w:rFonts w:hint="eastAsia"/>
        </w:rPr>
        <w:t>，下午</w:t>
      </w:r>
      <w:r>
        <w:rPr>
          <w:rFonts w:hint="eastAsia"/>
          <w:u w:val="single"/>
        </w:rPr>
        <w:t>12:00</w:t>
      </w:r>
      <w:r>
        <w:rPr>
          <w:rFonts w:hint="eastAsia"/>
        </w:rPr>
        <w:t>至</w:t>
      </w:r>
      <w:r>
        <w:rPr>
          <w:rFonts w:hint="eastAsia"/>
          <w:u w:val="single"/>
        </w:rPr>
        <w:t>17:00</w:t>
      </w:r>
      <w:r>
        <w:rPr>
          <w:rFonts w:hint="eastAsia" w:cs="宋体"/>
        </w:rPr>
        <w:t>（北京时间，</w:t>
      </w:r>
      <w:r>
        <w:rPr>
          <w:rFonts w:cs="宋体"/>
        </w:rPr>
        <w:t>法定节假日</w:t>
      </w:r>
      <w:r>
        <w:rPr>
          <w:rFonts w:hint="eastAsia" w:cs="宋体"/>
        </w:rPr>
        <w:t>除外）。</w:t>
      </w:r>
    </w:p>
    <w:p w14:paraId="3A658712">
      <w:pPr>
        <w:ind w:firstLine="480" w:firstLineChars="200"/>
        <w:rPr>
          <w:rFonts w:hint="eastAsia" w:cs="宋体"/>
          <w:u w:val="single"/>
        </w:rPr>
      </w:pPr>
      <w:bookmarkStart w:id="16" w:name="_Toc28359092"/>
      <w:bookmarkStart w:id="17" w:name="_Toc35393632"/>
      <w:bookmarkStart w:id="18" w:name="_Toc28359015"/>
      <w:bookmarkStart w:id="19" w:name="_Toc35393801"/>
      <w:r>
        <w:rPr>
          <w:rFonts w:hint="eastAsia" w:cs="宋体"/>
        </w:rPr>
        <w:t>地点：</w:t>
      </w:r>
      <w:r>
        <w:rPr>
          <w:rFonts w:hint="eastAsia" w:cs="宋体"/>
          <w:u w:val="single"/>
        </w:rPr>
        <w:t>海南省海口市秀英区永万路22号二楼海南省实博招标代理有限公司</w:t>
      </w:r>
    </w:p>
    <w:p w14:paraId="7DA0D0A6">
      <w:pPr>
        <w:ind w:firstLine="480" w:firstLineChars="200"/>
        <w:rPr>
          <w:rFonts w:hint="eastAsia" w:cs="宋体"/>
          <w:u w:val="single"/>
        </w:rPr>
      </w:pPr>
      <w:r>
        <w:rPr>
          <w:rFonts w:hint="eastAsia" w:cs="宋体"/>
        </w:rPr>
        <w:t>方式：</w:t>
      </w:r>
      <w:r>
        <w:rPr>
          <w:rFonts w:hint="eastAsia" w:cs="宋体"/>
          <w:u w:val="single"/>
        </w:rPr>
        <w:t>携营业执照复印件或营业执照电子版信息至海南省海口市秀英区永万路</w:t>
      </w:r>
      <w:r>
        <w:rPr>
          <w:rFonts w:cs="宋体"/>
          <w:u w:val="single"/>
        </w:rPr>
        <w:t>22号二楼海南省实博招标代理有限公司现场登记报名获取</w:t>
      </w:r>
    </w:p>
    <w:p w14:paraId="4BBC9EE0">
      <w:pPr>
        <w:ind w:firstLine="480" w:firstLineChars="200"/>
        <w:rPr>
          <w:rFonts w:hint="eastAsia" w:cs="宋体"/>
        </w:rPr>
      </w:pPr>
      <w:r>
        <w:rPr>
          <w:rFonts w:hint="eastAsia" w:cs="宋体"/>
        </w:rPr>
        <w:t>售价：500元</w:t>
      </w:r>
    </w:p>
    <w:p w14:paraId="1EFD9924">
      <w:pPr>
        <w:pStyle w:val="3"/>
      </w:pPr>
      <w:r>
        <w:rPr>
          <w:rFonts w:hint="eastAsia"/>
        </w:rPr>
        <w:t>四、响应文件提交</w:t>
      </w:r>
      <w:bookmarkEnd w:id="16"/>
      <w:bookmarkEnd w:id="17"/>
      <w:bookmarkEnd w:id="18"/>
      <w:bookmarkEnd w:id="19"/>
    </w:p>
    <w:p w14:paraId="3E5F38E0">
      <w:pPr>
        <w:ind w:firstLine="480" w:firstLineChars="200"/>
        <w:rPr>
          <w:rFonts w:hint="eastAsia"/>
          <w:bCs/>
          <w:u w:val="single"/>
        </w:rPr>
      </w:pPr>
      <w:r>
        <w:rPr>
          <w:rFonts w:hint="eastAsia"/>
        </w:rPr>
        <w:t>截止时间：</w:t>
      </w:r>
      <w:r>
        <w:rPr>
          <w:u w:val="single"/>
        </w:rPr>
        <w:t>2025年  月  日09点00分</w:t>
      </w:r>
      <w:r>
        <w:rPr>
          <w:rFonts w:hint="eastAsia"/>
          <w:u w:val="single"/>
        </w:rPr>
        <w:t>（北京时间）</w:t>
      </w:r>
    </w:p>
    <w:p w14:paraId="22DA7838">
      <w:pPr>
        <w:ind w:firstLine="480" w:firstLineChars="200"/>
        <w:rPr>
          <w:rFonts w:hint="eastAsia"/>
        </w:rPr>
      </w:pPr>
      <w:bookmarkStart w:id="20" w:name="_Toc35393802"/>
      <w:bookmarkStart w:id="21" w:name="_Toc35393633"/>
      <w:bookmarkStart w:id="22" w:name="_Toc28359093"/>
      <w:bookmarkStart w:id="23" w:name="_Toc28359016"/>
      <w:r>
        <w:rPr>
          <w:rFonts w:hint="eastAsia"/>
        </w:rPr>
        <w:t>地点：</w:t>
      </w:r>
      <w:r>
        <w:rPr>
          <w:rFonts w:hint="eastAsia" w:cs="宋体"/>
          <w:u w:val="single"/>
        </w:rPr>
        <w:t>海南省海口市秀英区永万路22号二楼海南省实博招标代理有限公司</w:t>
      </w:r>
    </w:p>
    <w:p w14:paraId="56A527F8">
      <w:pPr>
        <w:pStyle w:val="3"/>
      </w:pPr>
      <w:r>
        <w:rPr>
          <w:rFonts w:hint="eastAsia"/>
        </w:rPr>
        <w:t>五、开启</w:t>
      </w:r>
      <w:bookmarkEnd w:id="20"/>
      <w:bookmarkEnd w:id="21"/>
      <w:bookmarkEnd w:id="22"/>
      <w:bookmarkEnd w:id="23"/>
    </w:p>
    <w:p w14:paraId="252B2CC6">
      <w:pPr>
        <w:ind w:firstLine="480" w:firstLineChars="200"/>
        <w:rPr>
          <w:rFonts w:hint="eastAsia"/>
          <w:bCs/>
          <w:u w:val="single"/>
        </w:rPr>
      </w:pPr>
      <w:r>
        <w:rPr>
          <w:rFonts w:hint="eastAsia"/>
        </w:rPr>
        <w:t>时间：</w:t>
      </w:r>
      <w:r>
        <w:rPr>
          <w:u w:val="single"/>
        </w:rPr>
        <w:t>2025年  月  日09点00分</w:t>
      </w:r>
      <w:r>
        <w:rPr>
          <w:rFonts w:hint="eastAsia"/>
          <w:u w:val="single"/>
        </w:rPr>
        <w:t>（北京时间）</w:t>
      </w:r>
    </w:p>
    <w:p w14:paraId="4B57925C">
      <w:pPr>
        <w:ind w:firstLine="480" w:firstLineChars="200"/>
        <w:rPr>
          <w:rFonts w:hint="eastAsia"/>
        </w:rPr>
      </w:pPr>
      <w:bookmarkStart w:id="24" w:name="_Toc28359017"/>
      <w:bookmarkStart w:id="25" w:name="_Toc35393803"/>
      <w:bookmarkStart w:id="26" w:name="_Toc28359094"/>
      <w:bookmarkStart w:id="27" w:name="_Toc35393634"/>
      <w:r>
        <w:rPr>
          <w:rFonts w:hint="eastAsia"/>
        </w:rPr>
        <w:t>地点：</w:t>
      </w:r>
      <w:r>
        <w:rPr>
          <w:rFonts w:hint="eastAsia" w:cs="宋体"/>
          <w:u w:val="single"/>
        </w:rPr>
        <w:t>海南省海口市秀英区永万路22号二楼海南省实博招标代理有限公司</w:t>
      </w:r>
    </w:p>
    <w:p w14:paraId="2E806FFC">
      <w:pPr>
        <w:pStyle w:val="3"/>
      </w:pPr>
      <w:r>
        <w:rPr>
          <w:rFonts w:hint="eastAsia"/>
        </w:rPr>
        <w:t>六、公告期限</w:t>
      </w:r>
      <w:bookmarkEnd w:id="24"/>
      <w:bookmarkEnd w:id="25"/>
      <w:bookmarkEnd w:id="26"/>
      <w:bookmarkEnd w:id="27"/>
    </w:p>
    <w:p w14:paraId="1CE9674D">
      <w:pPr>
        <w:pStyle w:val="74"/>
        <w:ind w:firstLine="480"/>
        <w:rPr>
          <w:rFonts w:hint="eastAsia" w:ascii="宋体" w:hAnsi="宋体"/>
        </w:rPr>
      </w:pPr>
      <w:r>
        <w:rPr>
          <w:rFonts w:hint="eastAsia" w:ascii="宋体" w:hAnsi="宋体"/>
        </w:rPr>
        <w:t>自本公告发布之日起3个工作日。</w:t>
      </w:r>
    </w:p>
    <w:p w14:paraId="32FBEBDE">
      <w:pPr>
        <w:pStyle w:val="3"/>
      </w:pPr>
      <w:bookmarkStart w:id="28" w:name="_Toc35393804"/>
      <w:bookmarkStart w:id="29" w:name="_Toc35393635"/>
      <w:r>
        <w:rPr>
          <w:rFonts w:hint="eastAsia"/>
        </w:rPr>
        <w:t>七、其他补充事宜</w:t>
      </w:r>
      <w:bookmarkEnd w:id="28"/>
      <w:bookmarkEnd w:id="29"/>
    </w:p>
    <w:p w14:paraId="300BF606">
      <w:pPr>
        <w:pStyle w:val="74"/>
        <w:ind w:firstLine="480"/>
        <w:rPr>
          <w:rFonts w:hint="eastAsia" w:ascii="宋体" w:hAnsi="宋体"/>
        </w:rPr>
      </w:pPr>
      <w:bookmarkStart w:id="30" w:name="_Toc35393636"/>
      <w:bookmarkStart w:id="31" w:name="_Toc35393805"/>
      <w:bookmarkStart w:id="32" w:name="_Toc28359095"/>
      <w:bookmarkStart w:id="33" w:name="_Toc28359018"/>
      <w:r>
        <w:rPr>
          <w:rFonts w:hint="eastAsia" w:ascii="宋体" w:hAnsi="宋体"/>
        </w:rPr>
        <w:t>1.上述申请人的资格要求中“满足《中华人民共和国政府采购法》第二十二条规定”，需具备以下条件：</w:t>
      </w:r>
    </w:p>
    <w:p w14:paraId="68F0AA1F">
      <w:pPr>
        <w:pStyle w:val="74"/>
        <w:ind w:firstLine="494" w:firstLineChars="206"/>
        <w:rPr>
          <w:rFonts w:hint="eastAsia" w:ascii="宋体" w:hAnsi="宋体"/>
        </w:rPr>
      </w:pPr>
      <w:r>
        <w:rPr>
          <w:rFonts w:hint="eastAsia" w:ascii="宋体" w:hAnsi="宋体"/>
        </w:rPr>
        <w:t>1.1 在中华人民共和国注册，具有独立承担民事责任的能力：（1）供应商若为企业法人：提供有效的“统一社会信用代码营业执照”；未换证的提供有效的“营业执照、税务登记证、组织机构代码证”；（2）若为事业法人：提供“统一社会信用代码法人登记证书”或“事业单位法人证书”；未换证的提交“事业法人登记证书、组织机构代码证”；（3）若为其他组织：提供“对应主管部门颁发的准许执业证明文件或营业执照”；（4）若为自然人：提供“身份证明文件”；</w:t>
      </w:r>
    </w:p>
    <w:p w14:paraId="41B43346">
      <w:pPr>
        <w:pStyle w:val="74"/>
        <w:ind w:firstLine="494" w:firstLineChars="206"/>
        <w:rPr>
          <w:rFonts w:hint="eastAsia" w:ascii="宋体" w:hAnsi="宋体"/>
        </w:rPr>
      </w:pPr>
      <w:r>
        <w:rPr>
          <w:rFonts w:hint="eastAsia" w:ascii="宋体" w:hAnsi="宋体"/>
        </w:rPr>
        <w:t>1.2 提供满足《中华人民共和国政府采购法》第二十二条规定相应条件的资格承诺函，资格承诺函格式见采购文件提供的附件《</w:t>
      </w:r>
      <w:r>
        <w:rPr>
          <w:rFonts w:ascii="宋体" w:hAnsi="宋体"/>
        </w:rPr>
        <w:t>资格承诺函</w:t>
      </w:r>
      <w:r>
        <w:rPr>
          <w:rFonts w:hint="eastAsia" w:ascii="宋体" w:hAnsi="宋体"/>
        </w:rPr>
        <w:t>》</w:t>
      </w:r>
      <w:r>
        <w:rPr>
          <w:rFonts w:ascii="宋体" w:hAnsi="宋体"/>
        </w:rPr>
        <w:t>。</w:t>
      </w:r>
    </w:p>
    <w:p w14:paraId="3EEA4392">
      <w:pPr>
        <w:pStyle w:val="74"/>
        <w:ind w:firstLine="480"/>
        <w:rPr>
          <w:rFonts w:hint="eastAsia" w:ascii="宋体" w:hAnsi="宋体" w:cs="宋体"/>
        </w:rPr>
      </w:pPr>
      <w:r>
        <w:rPr>
          <w:rFonts w:hint="eastAsia" w:ascii="宋体" w:hAnsi="宋体"/>
          <w:szCs w:val="24"/>
        </w:rPr>
        <w:t>2.</w:t>
      </w:r>
      <w:r>
        <w:rPr>
          <w:rFonts w:hint="eastAsia" w:ascii="宋体" w:hAnsi="宋体"/>
        </w:rPr>
        <w:t>本项目采购信息发布媒体：</w:t>
      </w:r>
      <w:r>
        <w:rPr>
          <w:rFonts w:hint="eastAsia" w:ascii="宋体" w:hAnsi="宋体" w:cs="宋体"/>
        </w:rPr>
        <w:t>公告、采购文件修改或澄清等信息，将在</w:t>
      </w:r>
      <w:r>
        <w:rPr>
          <w:rFonts w:hint="eastAsia" w:ascii="宋体" w:hAnsi="宋体" w:cs="宋体"/>
          <w:u w:val="single"/>
        </w:rPr>
        <w:t>中国政府采购网(http://www.ccgp.gov.cn/)</w:t>
      </w:r>
      <w:r>
        <w:rPr>
          <w:rFonts w:hint="eastAsia" w:ascii="宋体" w:hAnsi="宋体" w:cs="宋体"/>
        </w:rPr>
        <w:t>发布。</w:t>
      </w:r>
    </w:p>
    <w:p w14:paraId="007F32DB">
      <w:pPr>
        <w:pStyle w:val="74"/>
        <w:ind w:firstLine="480"/>
        <w:rPr>
          <w:rFonts w:hint="eastAsia" w:ascii="宋体" w:hAnsi="宋体" w:cs="宋体"/>
        </w:rPr>
      </w:pPr>
      <w:r>
        <w:rPr>
          <w:rFonts w:hint="eastAsia" w:ascii="宋体" w:hAnsi="宋体" w:cs="宋体"/>
        </w:rPr>
        <w:t>3.需要落实的政府采购政策：《政府采购促进中小企业发展管理办法》、《财政部发展改革委生态环境部市场监管总局关于调整优化节能产品、环境标志产品政府采购执行机制的通知》、《关于促进残疾人就业政府采购政策的通知》、《财政部司法部关于政府采购支持监狱企业发展有关问题的通知》、《关于政府采购支持绿色建材促进建筑品质提升试点工作的通知》、《财政部国务院扶贫办关于运用政府采购政策支持脱贫攻坚的通知》</w:t>
      </w:r>
    </w:p>
    <w:p w14:paraId="01486EA5">
      <w:pPr>
        <w:pStyle w:val="3"/>
      </w:pPr>
      <w:r>
        <w:rPr>
          <w:rFonts w:hint="eastAsia"/>
        </w:rPr>
        <w:t>八、凡对本次采购提出询问，请按</w:t>
      </w:r>
      <w:r>
        <w:t>以下方式</w:t>
      </w:r>
      <w:r>
        <w:rPr>
          <w:rFonts w:hint="eastAsia"/>
        </w:rPr>
        <w:t>联系。</w:t>
      </w:r>
      <w:bookmarkEnd w:id="30"/>
      <w:bookmarkEnd w:id="31"/>
      <w:bookmarkEnd w:id="32"/>
      <w:bookmarkEnd w:id="33"/>
    </w:p>
    <w:bookmarkEnd w:id="2"/>
    <w:bookmarkEnd w:id="3"/>
    <w:p w14:paraId="3DC0DF5E">
      <w:pPr>
        <w:ind w:firstLine="482" w:firstLineChars="200"/>
        <w:jc w:val="both"/>
        <w:rPr>
          <w:rFonts w:hint="eastAsia" w:cs="宋体"/>
          <w:b/>
          <w:bCs/>
        </w:rPr>
      </w:pPr>
      <w:bookmarkStart w:id="34" w:name="_Toc35393637"/>
      <w:bookmarkStart w:id="35" w:name="_Toc35393806"/>
      <w:bookmarkStart w:id="36" w:name="_Toc28359096"/>
      <w:bookmarkStart w:id="37" w:name="_Toc28359019"/>
      <w:bookmarkStart w:id="38" w:name="_Toc1925"/>
      <w:bookmarkStart w:id="39" w:name="_Toc25829_WPSOffice_Level1"/>
      <w:bookmarkStart w:id="40" w:name="OLE_LINK4"/>
      <w:r>
        <w:rPr>
          <w:rFonts w:hint="eastAsia" w:cs="宋体"/>
          <w:b/>
          <w:bCs/>
        </w:rPr>
        <w:t>1.采购人信息</w:t>
      </w:r>
      <w:bookmarkEnd w:id="34"/>
      <w:bookmarkEnd w:id="35"/>
      <w:bookmarkEnd w:id="36"/>
      <w:bookmarkEnd w:id="37"/>
    </w:p>
    <w:p w14:paraId="6FD1A14C">
      <w:pPr>
        <w:ind w:firstLine="480" w:firstLineChars="200"/>
        <w:jc w:val="both"/>
        <w:rPr>
          <w:rFonts w:hint="eastAsia"/>
        </w:rPr>
      </w:pPr>
      <w:bookmarkStart w:id="41" w:name="_Toc28359097"/>
      <w:bookmarkStart w:id="42" w:name="_Toc35393807"/>
      <w:bookmarkStart w:id="43" w:name="_Toc35393638"/>
      <w:bookmarkStart w:id="44" w:name="_Toc28359020"/>
      <w:r>
        <w:rPr>
          <w:rFonts w:hint="eastAsia"/>
        </w:rPr>
        <w:t>名    称：海南省安宁医院</w:t>
      </w:r>
    </w:p>
    <w:p w14:paraId="787D1F52">
      <w:pPr>
        <w:ind w:firstLine="480" w:firstLineChars="200"/>
        <w:jc w:val="both"/>
        <w:rPr>
          <w:rFonts w:hint="eastAsia"/>
        </w:rPr>
      </w:pPr>
      <w:r>
        <w:rPr>
          <w:rFonts w:hint="eastAsia"/>
        </w:rPr>
        <w:t>地    址：</w:t>
      </w:r>
      <w:r>
        <w:rPr>
          <w:rFonts w:hint="eastAsia" w:cs="宋体"/>
          <w:kern w:val="0"/>
        </w:rPr>
        <w:t>海口市龙华区南海大道东10号</w:t>
      </w:r>
    </w:p>
    <w:p w14:paraId="2FD083F5">
      <w:pPr>
        <w:ind w:firstLine="480" w:firstLineChars="200"/>
        <w:jc w:val="both"/>
        <w:rPr>
          <w:rFonts w:hint="eastAsia"/>
        </w:rPr>
      </w:pPr>
      <w:r>
        <w:rPr>
          <w:rFonts w:hint="eastAsia"/>
        </w:rPr>
        <w:t>联系方式：王先生 0898-66988629</w:t>
      </w:r>
    </w:p>
    <w:p w14:paraId="0C6B5452">
      <w:pPr>
        <w:ind w:firstLine="482" w:firstLineChars="200"/>
        <w:jc w:val="both"/>
        <w:rPr>
          <w:rFonts w:hint="eastAsia" w:cs="宋体"/>
          <w:b/>
          <w:bCs/>
        </w:rPr>
      </w:pPr>
      <w:r>
        <w:rPr>
          <w:rFonts w:hint="eastAsia" w:cs="宋体"/>
          <w:b/>
          <w:bCs/>
        </w:rPr>
        <w:t>2.采购代理机构信息</w:t>
      </w:r>
      <w:bookmarkEnd w:id="41"/>
      <w:bookmarkEnd w:id="42"/>
      <w:bookmarkEnd w:id="43"/>
      <w:bookmarkEnd w:id="44"/>
    </w:p>
    <w:p w14:paraId="32576F4B">
      <w:pPr>
        <w:ind w:firstLine="480" w:firstLineChars="200"/>
        <w:jc w:val="both"/>
        <w:rPr>
          <w:rFonts w:hint="eastAsia"/>
        </w:rPr>
      </w:pPr>
      <w:r>
        <w:rPr>
          <w:rFonts w:hint="eastAsia"/>
        </w:rPr>
        <w:t>名    称：</w:t>
      </w:r>
      <w:bookmarkStart w:id="45" w:name="_Hlk130851257"/>
      <w:r>
        <w:rPr>
          <w:rFonts w:hint="eastAsia"/>
        </w:rPr>
        <w:t>海南省实博招标代理有限公司</w:t>
      </w:r>
      <w:bookmarkEnd w:id="45"/>
    </w:p>
    <w:p w14:paraId="5EADBB62">
      <w:pPr>
        <w:ind w:firstLine="480" w:firstLineChars="200"/>
        <w:jc w:val="both"/>
        <w:rPr>
          <w:rFonts w:hint="eastAsia"/>
        </w:rPr>
      </w:pPr>
      <w:r>
        <w:rPr>
          <w:rFonts w:hint="eastAsia"/>
        </w:rPr>
        <w:t>地    址：</w:t>
      </w:r>
      <w:bookmarkStart w:id="46" w:name="_Hlk130851268"/>
      <w:r>
        <w:rPr>
          <w:rFonts w:hint="eastAsia" w:cs="宋体"/>
        </w:rPr>
        <w:t>海南省海口市秀英区永万路22号二楼海南省实博招标代理有限公司</w:t>
      </w:r>
      <w:bookmarkEnd w:id="46"/>
    </w:p>
    <w:p w14:paraId="687DF96C">
      <w:pPr>
        <w:ind w:firstLine="480" w:firstLineChars="200"/>
        <w:jc w:val="both"/>
        <w:rPr>
          <w:rFonts w:hint="eastAsia"/>
        </w:rPr>
      </w:pPr>
      <w:r>
        <w:rPr>
          <w:rFonts w:hint="eastAsia"/>
        </w:rPr>
        <w:t>联系方式：</w:t>
      </w:r>
      <w:bookmarkStart w:id="47" w:name="_Hlk130851282"/>
      <w:r>
        <w:rPr>
          <w:rFonts w:hint="eastAsia"/>
        </w:rPr>
        <w:t>0898-68602571</w:t>
      </w:r>
      <w:bookmarkEnd w:id="47"/>
    </w:p>
    <w:p w14:paraId="646AB532">
      <w:pPr>
        <w:ind w:firstLine="482" w:firstLineChars="200"/>
        <w:jc w:val="both"/>
        <w:rPr>
          <w:rFonts w:hint="eastAsia" w:cs="宋体"/>
          <w:b/>
          <w:bCs/>
        </w:rPr>
      </w:pPr>
      <w:bookmarkStart w:id="48" w:name="_Toc35393808"/>
      <w:bookmarkStart w:id="49" w:name="_Toc28359021"/>
      <w:bookmarkStart w:id="50" w:name="_Toc35393639"/>
      <w:bookmarkStart w:id="51" w:name="_Toc28359098"/>
      <w:r>
        <w:rPr>
          <w:rFonts w:hint="eastAsia" w:cs="宋体"/>
          <w:b/>
          <w:bCs/>
        </w:rPr>
        <w:t>3.项目联系方式</w:t>
      </w:r>
      <w:bookmarkEnd w:id="48"/>
      <w:bookmarkEnd w:id="49"/>
      <w:bookmarkEnd w:id="50"/>
      <w:bookmarkEnd w:id="51"/>
    </w:p>
    <w:p w14:paraId="19886275">
      <w:pPr>
        <w:ind w:firstLine="480" w:firstLineChars="200"/>
        <w:jc w:val="both"/>
        <w:rPr>
          <w:rFonts w:hint="eastAsia"/>
        </w:rPr>
      </w:pPr>
      <w:r>
        <w:rPr>
          <w:rFonts w:hint="eastAsia"/>
        </w:rPr>
        <w:t>项目联系人：陈福䘵</w:t>
      </w:r>
    </w:p>
    <w:p w14:paraId="2ADD8332">
      <w:pPr>
        <w:ind w:firstLine="480" w:firstLineChars="200"/>
        <w:jc w:val="both"/>
        <w:rPr>
          <w:rFonts w:hint="eastAsia"/>
        </w:rPr>
      </w:pPr>
      <w:r>
        <w:rPr>
          <w:rFonts w:hint="eastAsia"/>
        </w:rPr>
        <w:t>联系方式：0898-68602571</w:t>
      </w:r>
    </w:p>
    <w:p w14:paraId="542B5403">
      <w:pPr>
        <w:pStyle w:val="2"/>
        <w:spacing w:line="240" w:lineRule="auto"/>
        <w:rPr>
          <w:rFonts w:hint="eastAsia" w:ascii="宋体" w:hAnsi="宋体" w:cs="宋体"/>
          <w:szCs w:val="30"/>
        </w:rPr>
      </w:pPr>
      <w:r>
        <w:rPr>
          <w:rFonts w:ascii="宋体" w:hAnsi="宋体" w:cs="宋体"/>
        </w:rPr>
        <w:br w:type="page"/>
      </w:r>
      <w:bookmarkStart w:id="52" w:name="_Toc194273470"/>
      <w:r>
        <w:rPr>
          <w:rFonts w:hint="eastAsia" w:ascii="宋体" w:hAnsi="宋体" w:cs="宋体"/>
        </w:rPr>
        <w:t>第二章  供应商须知</w:t>
      </w:r>
      <w:bookmarkEnd w:id="38"/>
      <w:bookmarkEnd w:id="39"/>
      <w:bookmarkEnd w:id="52"/>
    </w:p>
    <w:bookmarkEnd w:id="40"/>
    <w:p w14:paraId="03632ED0">
      <w:pPr>
        <w:jc w:val="center"/>
        <w:rPr>
          <w:rFonts w:hint="eastAsia" w:cs="宋体"/>
          <w:sz w:val="32"/>
          <w:szCs w:val="32"/>
        </w:rPr>
      </w:pPr>
      <w:bookmarkStart w:id="53" w:name="OLE_LINK6"/>
      <w:bookmarkStart w:id="54" w:name="_Toc13084"/>
      <w:bookmarkStart w:id="55" w:name="_Toc18090"/>
      <w:bookmarkStart w:id="56" w:name="OLE_LINK5"/>
    </w:p>
    <w:p w14:paraId="4642DC36">
      <w:pPr>
        <w:pStyle w:val="3"/>
      </w:pPr>
      <w:r>
        <w:rPr>
          <w:rFonts w:hint="eastAsia"/>
        </w:rPr>
        <w:t>一、总则</w:t>
      </w:r>
      <w:bookmarkEnd w:id="53"/>
      <w:bookmarkEnd w:id="54"/>
      <w:bookmarkEnd w:id="55"/>
    </w:p>
    <w:bookmarkEnd w:id="56"/>
    <w:p w14:paraId="22BD254B">
      <w:pPr>
        <w:pStyle w:val="15"/>
        <w:adjustRightInd w:val="0"/>
        <w:snapToGrid w:val="0"/>
        <w:ind w:left="420" w:hanging="420"/>
        <w:rPr>
          <w:rFonts w:hint="eastAsia" w:hAnsi="宋体" w:cs="宋体"/>
          <w:b/>
          <w:bCs/>
          <w:sz w:val="24"/>
          <w:szCs w:val="32"/>
        </w:rPr>
      </w:pPr>
      <w:r>
        <w:rPr>
          <w:rFonts w:hint="eastAsia" w:hAnsi="宋体" w:cs="宋体"/>
          <w:b/>
          <w:kern w:val="2"/>
          <w:sz w:val="24"/>
          <w:szCs w:val="32"/>
        </w:rPr>
        <w:t>1.综合说明</w:t>
      </w:r>
    </w:p>
    <w:p w14:paraId="7626D300">
      <w:pPr>
        <w:ind w:firstLine="480" w:firstLineChars="200"/>
        <w:rPr>
          <w:rFonts w:hint="eastAsia"/>
        </w:rPr>
      </w:pPr>
      <w:r>
        <w:rPr>
          <w:rFonts w:hint="eastAsia"/>
        </w:rPr>
        <w:t>1.1 采购人：海南省安宁医院</w:t>
      </w:r>
    </w:p>
    <w:p w14:paraId="235FBAAC">
      <w:pPr>
        <w:ind w:firstLine="480" w:firstLineChars="200"/>
        <w:rPr>
          <w:rFonts w:hint="eastAsia"/>
        </w:rPr>
      </w:pPr>
      <w:r>
        <w:t>1.2</w:t>
      </w:r>
      <w:r>
        <w:rPr>
          <w:rFonts w:hint="eastAsia"/>
        </w:rPr>
        <w:t xml:space="preserve"> 采购代理机构：海南省实博招标代理有限公司</w:t>
      </w:r>
    </w:p>
    <w:p w14:paraId="2AB87133">
      <w:pPr>
        <w:ind w:firstLine="480" w:firstLineChars="200"/>
        <w:rPr>
          <w:rFonts w:hint="eastAsia"/>
        </w:rPr>
      </w:pPr>
      <w:r>
        <w:rPr>
          <w:rFonts w:hint="eastAsia"/>
        </w:rPr>
        <w:t>1</w:t>
      </w:r>
      <w:r>
        <w:t>.3</w:t>
      </w:r>
      <w:r>
        <w:rPr>
          <w:rFonts w:hint="eastAsia"/>
        </w:rPr>
        <w:t xml:space="preserve"> 供应商：已从采购代理机构购买磋商文件并提交响应文件的法人、其他组织或自然人。</w:t>
      </w:r>
    </w:p>
    <w:p w14:paraId="3661B3EA">
      <w:pPr>
        <w:ind w:firstLine="480" w:firstLineChars="200"/>
        <w:rPr>
          <w:rFonts w:hint="eastAsia"/>
        </w:rPr>
      </w:pPr>
      <w:r>
        <w:rPr>
          <w:rFonts w:hint="eastAsia"/>
        </w:rPr>
        <w:t>1</w:t>
      </w:r>
      <w:r>
        <w:t>.4</w:t>
      </w:r>
      <w:r>
        <w:rPr>
          <w:rFonts w:hint="eastAsia"/>
        </w:rPr>
        <w:t xml:space="preserve"> 成交供应商：经过采购确定的提供合同货物或服务的供应商。</w:t>
      </w:r>
    </w:p>
    <w:p w14:paraId="6991E0B4">
      <w:pPr>
        <w:ind w:firstLine="480" w:firstLineChars="200"/>
        <w:rPr>
          <w:rFonts w:hint="eastAsia"/>
        </w:rPr>
      </w:pPr>
      <w:r>
        <w:rPr>
          <w:rFonts w:hint="eastAsia"/>
        </w:rPr>
        <w:t>1</w:t>
      </w:r>
      <w:r>
        <w:t>.5</w:t>
      </w:r>
      <w:r>
        <w:rPr>
          <w:rFonts w:hint="eastAsia"/>
        </w:rPr>
        <w:t xml:space="preserve"> 本磋商文件仅适用于采购人组织的本次磋商活动。</w:t>
      </w:r>
    </w:p>
    <w:p w14:paraId="2FC0310F">
      <w:pPr>
        <w:ind w:firstLine="480" w:firstLineChars="200"/>
        <w:textAlignment w:val="baseline"/>
        <w:rPr>
          <w:rFonts w:hint="eastAsia"/>
        </w:rPr>
      </w:pPr>
      <w:r>
        <w:rPr>
          <w:rFonts w:hint="eastAsia"/>
        </w:rPr>
        <w:t>1.</w:t>
      </w:r>
      <w:r>
        <w:t>6</w:t>
      </w:r>
      <w:r>
        <w:rPr>
          <w:rFonts w:hint="eastAsia"/>
        </w:rPr>
        <w:t xml:space="preserve"> 本项目参照《中华人民共和国政府采购法》及相关法规，通过竞争性磋商来择优选定货物和服务的供货商。本磋商文件包括本文所列内容及按本须知发出的全部和补充资料。供应商应认真阅读本磋商文件中所有的事项、格式、条款、技术规范等实质性的条件和要求。供应商被视为充分熟悉本采购项目的全部内容及与履行合同有关的全部内容，熟悉磋商文件的格式、条件和范围。供应商没有按照磋商文件的要求提交相关资料，或者供应商没有对磋商文件相关内容都做出实质性响应是供应商的风险，可能导致其磋商无效。</w:t>
      </w:r>
    </w:p>
    <w:p w14:paraId="50C29116">
      <w:pPr>
        <w:pStyle w:val="15"/>
        <w:adjustRightInd w:val="0"/>
        <w:snapToGrid w:val="0"/>
        <w:ind w:left="420" w:hanging="420"/>
        <w:rPr>
          <w:rFonts w:hint="eastAsia" w:hAnsi="宋体" w:cs="宋体"/>
          <w:b/>
          <w:bCs/>
          <w:sz w:val="24"/>
          <w:szCs w:val="32"/>
        </w:rPr>
      </w:pPr>
      <w:r>
        <w:rPr>
          <w:rFonts w:hint="eastAsia" w:hAnsi="宋体" w:cs="宋体"/>
          <w:b/>
          <w:kern w:val="2"/>
          <w:sz w:val="24"/>
          <w:szCs w:val="32"/>
        </w:rPr>
        <w:t>2.</w:t>
      </w:r>
      <w:r>
        <w:rPr>
          <w:rFonts w:hint="eastAsia"/>
          <w:b/>
          <w:sz w:val="24"/>
          <w:szCs w:val="32"/>
        </w:rPr>
        <w:t>合格的供应商</w:t>
      </w:r>
    </w:p>
    <w:p w14:paraId="31FB8B4A">
      <w:pPr>
        <w:ind w:firstLine="480" w:firstLineChars="200"/>
        <w:rPr>
          <w:rFonts w:hint="eastAsia"/>
        </w:rPr>
      </w:pPr>
      <w:r>
        <w:t>2.1</w:t>
      </w:r>
      <w:r>
        <w:rPr>
          <w:rFonts w:hint="eastAsia"/>
        </w:rPr>
        <w:t xml:space="preserve"> 供应商参加本次采购活动应当符合《中华人民共和国政府采购法》第二十二条的规定并具备磋商文件第一章“申请人的资格要求”规定的条件。</w:t>
      </w:r>
    </w:p>
    <w:p w14:paraId="47418170">
      <w:pPr>
        <w:ind w:firstLine="480" w:firstLineChars="200"/>
        <w:rPr>
          <w:rFonts w:hint="eastAsia"/>
        </w:rPr>
      </w:pPr>
      <w:r>
        <w:t>2.2</w:t>
      </w:r>
      <w:r>
        <w:rPr>
          <w:rFonts w:hint="eastAsia"/>
        </w:rPr>
        <w:t xml:space="preserve"> 供应商其他资格条件详见本项目第一章申请人的资格要求。</w:t>
      </w:r>
    </w:p>
    <w:p w14:paraId="2C724D76">
      <w:pPr>
        <w:ind w:firstLine="480" w:firstLineChars="200"/>
        <w:rPr>
          <w:rFonts w:hint="eastAsia"/>
        </w:rPr>
      </w:pPr>
      <w:r>
        <w:t>2.</w:t>
      </w:r>
      <w:r>
        <w:rPr>
          <w:rFonts w:hint="eastAsia"/>
        </w:rPr>
        <w:t>3 单位负责人为同一人或者存在直接控股、管理关系的不同供应商，不得参加同一合同项下的采购活动。除单一来源采购项目外，为采购项目提供整体设计、规范编制或者项目管理、监理、检测等服务的供应商，不得再参加该采购项目的其他采购活动。</w:t>
      </w:r>
    </w:p>
    <w:p w14:paraId="3BE724FD">
      <w:pPr>
        <w:ind w:firstLine="480" w:firstLineChars="200"/>
        <w:rPr>
          <w:rFonts w:hint="eastAsia"/>
        </w:rPr>
      </w:pPr>
      <w:r>
        <w:t>2.</w:t>
      </w:r>
      <w:r>
        <w:rPr>
          <w:rFonts w:hint="eastAsia"/>
        </w:rPr>
        <w:t>4 如为信息系统采购项目，供应商不得为该整体项目或其中分项目前期工作提供过设计、编制、管理等服务的法人及附属单位。</w:t>
      </w:r>
    </w:p>
    <w:p w14:paraId="21BD402F">
      <w:pPr>
        <w:ind w:firstLine="480" w:firstLineChars="200"/>
        <w:rPr>
          <w:rFonts w:hint="eastAsia"/>
        </w:rPr>
      </w:pPr>
      <w:r>
        <w:t>2.</w:t>
      </w:r>
      <w:r>
        <w:rPr>
          <w:rFonts w:hint="eastAsia"/>
        </w:rPr>
        <w:t>5 磋商文件</w:t>
      </w:r>
      <w:r>
        <w:t>中未明确规定允许进口产品参加的，均视为拒绝进口产品参加。（进口产品是指通过中国海关报关验放进入中国境内且产自关境外的产品，不包括香港、澳门和台湾金马等单独关境地区）。</w:t>
      </w:r>
    </w:p>
    <w:p w14:paraId="05B29B59">
      <w:pPr>
        <w:ind w:firstLine="480" w:firstLineChars="200"/>
        <w:rPr>
          <w:rFonts w:hint="eastAsia" w:cs="仿宋_GB2312"/>
        </w:rPr>
      </w:pPr>
      <w:r>
        <w:t>2.</w:t>
      </w:r>
      <w:r>
        <w:rPr>
          <w:rFonts w:hint="eastAsia"/>
        </w:rPr>
        <w:t>6 因违法经营受到刑事处罚或者责令停产停业、吊销许可证或者执照、较大数额罚款等行政处罚、或者存在财政部门认定的其他重大违法记录</w:t>
      </w:r>
      <w:r>
        <w:rPr>
          <w:rFonts w:hint="eastAsia" w:cs="MingLiU_HKSCS"/>
        </w:rPr>
        <w:t>，</w:t>
      </w:r>
      <w:r>
        <w:rPr>
          <w:rFonts w:hint="eastAsia" w:cs="仿宋_GB2312"/>
        </w:rPr>
        <w:t>以及在财政部门禁止参加政府采购活动期限以内的</w:t>
      </w:r>
      <w:r>
        <w:rPr>
          <w:rFonts w:hint="eastAsia" w:cs="宋体"/>
        </w:rPr>
        <w:t>供应商不得参与磋商</w:t>
      </w:r>
      <w:r>
        <w:rPr>
          <w:rFonts w:hint="eastAsia" w:cs="仿宋_GB2312"/>
        </w:rPr>
        <w:t>。</w:t>
      </w:r>
    </w:p>
    <w:p w14:paraId="1985E85D">
      <w:pPr>
        <w:rPr>
          <w:rFonts w:hint="eastAsia"/>
          <w:b/>
        </w:rPr>
      </w:pPr>
      <w:r>
        <w:rPr>
          <w:rFonts w:hint="eastAsia"/>
          <w:b/>
        </w:rPr>
        <w:t>3.费用</w:t>
      </w:r>
    </w:p>
    <w:p w14:paraId="522AF24D">
      <w:pPr>
        <w:ind w:firstLine="480" w:firstLineChars="200"/>
        <w:rPr>
          <w:rFonts w:hint="eastAsia"/>
        </w:rPr>
      </w:pPr>
      <w:r>
        <w:rPr>
          <w:rFonts w:hint="eastAsia"/>
        </w:rPr>
        <w:t>3</w:t>
      </w:r>
      <w:r>
        <w:t>.1供应商应承担其</w:t>
      </w:r>
      <w:r>
        <w:rPr>
          <w:rFonts w:hint="eastAsia"/>
        </w:rPr>
        <w:t>编制响应文件与递交响应文件等磋商过程中所涉及的一切费用，不论磋商结果如何，采购人及采购代理机构将不予承担。</w:t>
      </w:r>
    </w:p>
    <w:p w14:paraId="08B9A28C">
      <w:pPr>
        <w:ind w:firstLine="480" w:firstLineChars="200"/>
        <w:rPr>
          <w:rFonts w:hint="eastAsia"/>
        </w:rPr>
      </w:pPr>
      <w:bookmarkStart w:id="57" w:name="_Toc238907005"/>
      <w:r>
        <w:t>3.2采购</w:t>
      </w:r>
      <w:r>
        <w:rPr>
          <w:rFonts w:hint="eastAsia"/>
        </w:rPr>
        <w:t>代理服务费</w:t>
      </w:r>
      <w:r>
        <w:rPr>
          <w:rFonts w:hint="eastAsia"/>
          <w:bCs/>
          <w:u w:val="single"/>
        </w:rPr>
        <w:t>参照《海南省物价局关于降低部分招标代理服务收费标准的通知》琼价费管〔2011〕225号文件服务类标准的80%</w:t>
      </w:r>
      <w:r>
        <w:rPr>
          <w:rFonts w:hint="eastAsia"/>
          <w:u w:val="single"/>
        </w:rPr>
        <w:t>计取招标代理服务费{最低收费标准为人民币伍仟元整（¥5000.00），即代理费按琼价费管〔</w:t>
      </w:r>
      <w:r>
        <w:rPr>
          <w:u w:val="single"/>
        </w:rPr>
        <w:t>2011〕225号文件服务类标准的80%</w:t>
      </w:r>
      <w:r>
        <w:rPr>
          <w:rFonts w:hint="eastAsia"/>
          <w:u w:val="single"/>
        </w:rPr>
        <w:t>计算后未达到最低收费标准，按最低收费标准读取}，采购代理服务费由成交供应商领取成交通知书前支付</w:t>
      </w:r>
      <w:r>
        <w:rPr>
          <w:rFonts w:hint="eastAsia"/>
        </w:rPr>
        <w:t>。</w:t>
      </w:r>
    </w:p>
    <w:p w14:paraId="3FE7B514">
      <w:pPr>
        <w:rPr>
          <w:rFonts w:hint="eastAsia"/>
          <w:b/>
        </w:rPr>
      </w:pPr>
      <w:r>
        <w:rPr>
          <w:rFonts w:hint="eastAsia"/>
          <w:b/>
        </w:rPr>
        <w:t>4.法律适用</w:t>
      </w:r>
      <w:bookmarkEnd w:id="57"/>
    </w:p>
    <w:p w14:paraId="7B9F7247">
      <w:pPr>
        <w:ind w:firstLine="480" w:firstLineChars="200"/>
        <w:rPr>
          <w:rFonts w:hint="eastAsia"/>
        </w:rPr>
      </w:pPr>
      <w:bookmarkStart w:id="58" w:name="_Toc238907006"/>
      <w:r>
        <w:t xml:space="preserve">4.1 </w:t>
      </w:r>
      <w:r>
        <w:rPr>
          <w:rFonts w:hint="eastAsia"/>
        </w:rPr>
        <w:t>本次采购活动及由本次磋商产生的合同受中华人民共和国的法律制约和保护。</w:t>
      </w:r>
    </w:p>
    <w:p w14:paraId="28ACB767">
      <w:pPr>
        <w:rPr>
          <w:rFonts w:hint="eastAsia"/>
          <w:b/>
        </w:rPr>
      </w:pPr>
      <w:r>
        <w:rPr>
          <w:b/>
        </w:rPr>
        <w:t>5</w:t>
      </w:r>
      <w:r>
        <w:rPr>
          <w:rFonts w:hint="eastAsia"/>
          <w:b/>
        </w:rPr>
        <w:t>．磋商文件的约束力</w:t>
      </w:r>
    </w:p>
    <w:p w14:paraId="7BFF29AE">
      <w:pPr>
        <w:ind w:firstLine="480" w:firstLineChars="200"/>
        <w:rPr>
          <w:rFonts w:hint="eastAsia"/>
        </w:rPr>
      </w:pPr>
      <w:r>
        <w:t>5</w:t>
      </w:r>
      <w:r>
        <w:rPr>
          <w:rFonts w:hint="eastAsia"/>
        </w:rPr>
        <w:t>.</w:t>
      </w:r>
      <w:r>
        <w:t>1</w:t>
      </w:r>
      <w:r>
        <w:rPr>
          <w:rFonts w:hint="eastAsia"/>
        </w:rPr>
        <w:t xml:space="preserve"> 供应商一旦购买了本磋商文件并在</w:t>
      </w:r>
      <w:r>
        <w:t>7</w:t>
      </w:r>
      <w:r>
        <w:rPr>
          <w:rFonts w:hint="eastAsia"/>
        </w:rPr>
        <w:t>个工作日内未对采购代理机构提出书面质疑，即被认为接受了本磋商文件中的所有条款和规定。</w:t>
      </w:r>
    </w:p>
    <w:p w14:paraId="709B2FC4">
      <w:pPr>
        <w:ind w:firstLine="480" w:firstLineChars="200"/>
        <w:rPr>
          <w:rFonts w:hint="eastAsia"/>
        </w:rPr>
      </w:pPr>
      <w:r>
        <w:t>5</w:t>
      </w:r>
      <w:r>
        <w:rPr>
          <w:rFonts w:hint="eastAsia"/>
        </w:rPr>
        <w:t>.</w:t>
      </w:r>
      <w:r>
        <w:t>2</w:t>
      </w:r>
      <w:r>
        <w:rPr>
          <w:rFonts w:hint="eastAsia"/>
        </w:rPr>
        <w:t xml:space="preserve"> 本磋商文件由采购代理机构负责解释。</w:t>
      </w:r>
    </w:p>
    <w:bookmarkEnd w:id="58"/>
    <w:p w14:paraId="3597D941">
      <w:pPr>
        <w:pStyle w:val="3"/>
      </w:pPr>
      <w:bookmarkStart w:id="59" w:name="_Toc238907007"/>
      <w:r>
        <w:rPr>
          <w:rFonts w:hint="eastAsia"/>
        </w:rPr>
        <w:t>二、磋商文件</w:t>
      </w:r>
      <w:bookmarkEnd w:id="59"/>
    </w:p>
    <w:p w14:paraId="7B0D9218">
      <w:pPr>
        <w:rPr>
          <w:rFonts w:hint="eastAsia"/>
          <w:b/>
        </w:rPr>
      </w:pPr>
      <w:bookmarkStart w:id="60" w:name="_Toc238907008"/>
      <w:r>
        <w:rPr>
          <w:rFonts w:hint="eastAsia"/>
          <w:b/>
        </w:rPr>
        <w:t>6．磋商文件的组成</w:t>
      </w:r>
      <w:bookmarkEnd w:id="60"/>
    </w:p>
    <w:p w14:paraId="09DF1E3C">
      <w:pPr>
        <w:ind w:firstLine="480" w:firstLineChars="200"/>
        <w:rPr>
          <w:rFonts w:hint="eastAsia"/>
        </w:rPr>
      </w:pPr>
      <w:bookmarkStart w:id="61" w:name="_Toc238907009"/>
      <w:r>
        <w:rPr>
          <w:rFonts w:hint="eastAsia"/>
        </w:rPr>
        <w:t>6.l 磋商文件由下列部分</w:t>
      </w:r>
      <w:r>
        <w:rPr>
          <w:rFonts w:hint="eastAsia" w:cs="宋体"/>
        </w:rPr>
        <w:t>以及在采购过程中发出的修正和补充文件</w:t>
      </w:r>
      <w:r>
        <w:rPr>
          <w:rFonts w:hint="eastAsia"/>
        </w:rPr>
        <w:t>组成：</w:t>
      </w:r>
    </w:p>
    <w:p w14:paraId="5A61A2F3">
      <w:pPr>
        <w:ind w:firstLine="480" w:firstLineChars="200"/>
        <w:rPr>
          <w:rFonts w:hint="eastAsia"/>
        </w:rPr>
      </w:pPr>
      <w:r>
        <w:rPr>
          <w:rFonts w:hint="eastAsia"/>
        </w:rPr>
        <w:t>第一章  磋商邀请函</w:t>
      </w:r>
    </w:p>
    <w:p w14:paraId="7A125835">
      <w:pPr>
        <w:ind w:firstLine="480" w:firstLineChars="200"/>
        <w:rPr>
          <w:rFonts w:hint="eastAsia"/>
        </w:rPr>
      </w:pPr>
      <w:r>
        <w:rPr>
          <w:rFonts w:hint="eastAsia"/>
        </w:rPr>
        <w:t>第二章  供应商须知</w:t>
      </w:r>
    </w:p>
    <w:p w14:paraId="15E90BFA">
      <w:pPr>
        <w:ind w:firstLine="480" w:firstLineChars="200"/>
        <w:rPr>
          <w:rFonts w:hint="eastAsia"/>
        </w:rPr>
      </w:pPr>
      <w:r>
        <w:rPr>
          <w:rFonts w:hint="eastAsia"/>
        </w:rPr>
        <w:t>第三章  采购需求</w:t>
      </w:r>
    </w:p>
    <w:p w14:paraId="76DADA6F">
      <w:pPr>
        <w:ind w:firstLine="480" w:firstLineChars="200"/>
        <w:rPr>
          <w:rFonts w:hint="eastAsia"/>
        </w:rPr>
      </w:pPr>
      <w:r>
        <w:rPr>
          <w:rFonts w:hint="eastAsia"/>
        </w:rPr>
        <w:t>第四章  评审方法、标准及程序</w:t>
      </w:r>
    </w:p>
    <w:p w14:paraId="50BEC3AA">
      <w:pPr>
        <w:ind w:firstLine="480" w:firstLineChars="200"/>
        <w:rPr>
          <w:rFonts w:hint="eastAsia"/>
        </w:rPr>
      </w:pPr>
      <w:r>
        <w:rPr>
          <w:rFonts w:hint="eastAsia"/>
        </w:rPr>
        <w:t>第五章  合同草案条款</w:t>
      </w:r>
    </w:p>
    <w:p w14:paraId="69FD9436">
      <w:pPr>
        <w:ind w:firstLine="480" w:firstLineChars="200"/>
        <w:rPr>
          <w:rFonts w:hint="eastAsia"/>
        </w:rPr>
      </w:pPr>
      <w:r>
        <w:rPr>
          <w:rFonts w:hint="eastAsia"/>
        </w:rPr>
        <w:t>第六章  响应文件内容及格式</w:t>
      </w:r>
    </w:p>
    <w:p w14:paraId="69E61B32">
      <w:pPr>
        <w:ind w:firstLine="480" w:firstLineChars="200"/>
        <w:rPr>
          <w:rFonts w:hint="eastAsia"/>
        </w:rPr>
      </w:pPr>
      <w:r>
        <w:rPr>
          <w:rFonts w:hint="eastAsia"/>
        </w:rPr>
        <w:t>请仔细检查磋商文件是否齐全，如有缺漏，请立即与采购代理机构联系解决。</w:t>
      </w:r>
    </w:p>
    <w:p w14:paraId="57F9F46B">
      <w:pPr>
        <w:ind w:firstLine="480" w:firstLineChars="200"/>
        <w:rPr>
          <w:rFonts w:hint="eastAsia"/>
        </w:rPr>
      </w:pPr>
      <w:r>
        <w:rPr>
          <w:rFonts w:hint="eastAsia"/>
        </w:rPr>
        <w:t>6.</w:t>
      </w:r>
      <w:r>
        <w:t>2</w:t>
      </w:r>
      <w:r>
        <w:rPr>
          <w:rFonts w:hint="eastAsia"/>
        </w:rPr>
        <w:t xml:space="preserve"> 供应商必须详阅磋商文件的所有</w:t>
      </w:r>
      <w:r>
        <w:rPr>
          <w:rFonts w:hint="eastAsia" w:cs="宋体"/>
        </w:rPr>
        <w:t>事项、格式、条款等</w:t>
      </w:r>
      <w:r>
        <w:rPr>
          <w:rFonts w:hint="eastAsia"/>
        </w:rPr>
        <w:t>。供应商若未按磋商文件的要求和规范编制、提交响应文件，将有可能导致响应文件被拒绝接受或无效磋商，所造成的负面后果由供应商负责。</w:t>
      </w:r>
    </w:p>
    <w:bookmarkEnd w:id="61"/>
    <w:p w14:paraId="10E83F81">
      <w:pPr>
        <w:rPr>
          <w:rFonts w:hint="eastAsia"/>
          <w:b/>
        </w:rPr>
      </w:pPr>
      <w:bookmarkStart w:id="62" w:name="_Toc238907011"/>
      <w:r>
        <w:rPr>
          <w:rFonts w:hint="eastAsia"/>
          <w:b/>
        </w:rPr>
        <w:t>7.磋商文件的询问或澄清</w:t>
      </w:r>
    </w:p>
    <w:p w14:paraId="1D72B1AE">
      <w:pPr>
        <w:ind w:firstLine="480" w:firstLineChars="200"/>
        <w:rPr>
          <w:rFonts w:hint="eastAsia" w:cs="宋体"/>
        </w:rPr>
      </w:pPr>
      <w:r>
        <w:rPr>
          <w:rFonts w:hint="eastAsia" w:cs="宋体"/>
        </w:rPr>
        <w:t>供应商在收到磋商文件后，若有疑问需要询问或要求澄清的，可以书面形式（包括信函、传真、电传，下同）在响应文件递交截止时间3日前通知采购代理机构，采购代理机构将以澄清或书面形式在收到询问或澄清要求后3日内进行答复，同时采购代理机构有权将答复内容（包括所提问题，但不包括问题来源）分发给所有购买了本磋商文件的供应商。未对采购代理机构提出书面意见，即视为接受了本磋商文件中的所有条款和规定。供应商对采购代理机构提供的磋商文件所做出的推论、解释和结论，采购代理机构概不负责。供应商由于对磋商文件的任何推论误解以及采购代理机构对有关问题的口头解释所造成的后果，均由供应商自负。</w:t>
      </w:r>
      <w:bookmarkStart w:id="63" w:name="_Toc217446041"/>
      <w:bookmarkStart w:id="64" w:name="_Toc208848971"/>
      <w:bookmarkStart w:id="65" w:name="_Toc183582213"/>
      <w:bookmarkStart w:id="66" w:name="_Toc183682350"/>
    </w:p>
    <w:bookmarkEnd w:id="63"/>
    <w:bookmarkEnd w:id="64"/>
    <w:bookmarkEnd w:id="65"/>
    <w:bookmarkEnd w:id="66"/>
    <w:p w14:paraId="4FF95C25">
      <w:pPr>
        <w:rPr>
          <w:rFonts w:hint="eastAsia"/>
          <w:b/>
        </w:rPr>
      </w:pPr>
      <w:bookmarkStart w:id="67" w:name="_Toc238907010"/>
      <w:r>
        <w:rPr>
          <w:rFonts w:hint="eastAsia"/>
          <w:b/>
        </w:rPr>
        <w:t>8．磋商文件的</w:t>
      </w:r>
      <w:bookmarkEnd w:id="67"/>
      <w:r>
        <w:rPr>
          <w:b/>
        </w:rPr>
        <w:t>补遗、澄清及变更信息</w:t>
      </w:r>
    </w:p>
    <w:p w14:paraId="5FFA3B4B">
      <w:pPr>
        <w:ind w:firstLine="480" w:firstLineChars="200"/>
        <w:rPr>
          <w:rFonts w:hint="eastAsia"/>
        </w:rPr>
      </w:pPr>
      <w:r>
        <w:rPr>
          <w:rFonts w:hint="eastAsia"/>
        </w:rPr>
        <w:t>8.l 采购人、采购代理机构均可对磋商文件用更正公告的方式进行补遗、澄清及变更，补遗、澄清及变更</w:t>
      </w:r>
      <w:r>
        <w:rPr>
          <w:rFonts w:hint="eastAsia" w:cs="宋体"/>
        </w:rPr>
        <w:t>的内容可能影响响应文件编制的，采购人、采购代理机构应当在提交首次响应文件截止时间至少5日前（不足五日的应当顺延），将有关的</w:t>
      </w:r>
      <w:r>
        <w:rPr>
          <w:rFonts w:hint="eastAsia"/>
        </w:rPr>
        <w:t>补遗、澄清及变更信息</w:t>
      </w:r>
      <w:r>
        <w:rPr>
          <w:rFonts w:hint="eastAsia" w:cs="宋体"/>
        </w:rPr>
        <w:t>以公告的形式发布，并以书面形式通知所有接收磋商文件的供应商</w:t>
      </w:r>
      <w:r>
        <w:rPr>
          <w:rFonts w:cs="宋体"/>
        </w:rPr>
        <w:t>，采购文件与更正公告的内容相互矛盾时，以最后发出的更正公告内容为准。</w:t>
      </w:r>
    </w:p>
    <w:p w14:paraId="75D49E58">
      <w:pPr>
        <w:ind w:firstLine="480" w:firstLineChars="200"/>
        <w:rPr>
          <w:rFonts w:hint="eastAsia"/>
        </w:rPr>
      </w:pPr>
      <w:r>
        <w:rPr>
          <w:rFonts w:hint="eastAsia"/>
        </w:rPr>
        <w:t xml:space="preserve">8.2 </w:t>
      </w:r>
      <w:r>
        <w:rPr>
          <w:rFonts w:hint="eastAsia" w:cs="宋体"/>
        </w:rPr>
        <w:t>潜在供应商在收到上述通知后，应立即以书面形式向采购代理机构和采购人确认。</w:t>
      </w:r>
    </w:p>
    <w:p w14:paraId="39EA1D6C">
      <w:pPr>
        <w:ind w:firstLine="480" w:firstLineChars="200"/>
        <w:rPr>
          <w:rFonts w:hint="eastAsia"/>
        </w:rPr>
      </w:pPr>
      <w:r>
        <w:rPr>
          <w:rFonts w:hint="eastAsia"/>
        </w:rPr>
        <w:t>8.3 为使供应商有足够的时间按磋商文件的更正要求修正响应文件，采购代理机构有权决定推迟响应文件提交截止日期和磋商时间，并</w:t>
      </w:r>
      <w:r>
        <w:rPr>
          <w:rFonts w:hint="eastAsia" w:cs="宋体"/>
        </w:rPr>
        <w:t>将有关信息以公告的形式</w:t>
      </w:r>
      <w:r>
        <w:rPr>
          <w:rFonts w:hint="eastAsia"/>
        </w:rPr>
        <w:t>通知所有供应商。</w:t>
      </w:r>
    </w:p>
    <w:p w14:paraId="75994105">
      <w:pPr>
        <w:pStyle w:val="3"/>
      </w:pPr>
      <w:r>
        <w:rPr>
          <w:rFonts w:hint="eastAsia"/>
        </w:rPr>
        <w:t>三、响应文件</w:t>
      </w:r>
      <w:bookmarkEnd w:id="62"/>
    </w:p>
    <w:p w14:paraId="309D9E9C">
      <w:pPr>
        <w:rPr>
          <w:rFonts w:hint="eastAsia"/>
          <w:b/>
        </w:rPr>
      </w:pPr>
      <w:bookmarkStart w:id="68" w:name="_Toc238907012"/>
      <w:r>
        <w:rPr>
          <w:rFonts w:hint="eastAsia"/>
          <w:b/>
        </w:rPr>
        <w:t>9.响应文件的语言及度量衡</w:t>
      </w:r>
      <w:bookmarkEnd w:id="68"/>
    </w:p>
    <w:p w14:paraId="609D19DA">
      <w:pPr>
        <w:ind w:firstLine="480" w:firstLineChars="200"/>
        <w:rPr>
          <w:rFonts w:hint="eastAsia"/>
        </w:rPr>
      </w:pPr>
      <w:bookmarkStart w:id="69" w:name="_Toc238907013"/>
      <w:r>
        <w:rPr>
          <w:rFonts w:hint="eastAsia"/>
        </w:rPr>
        <w:t>9.1供应商提交的响应文件以及供应商与采购人就有关磋商的所有来往书面文件均须使用</w:t>
      </w:r>
      <w:r>
        <w:rPr>
          <w:rFonts w:hint="eastAsia"/>
          <w:b/>
          <w:u w:val="single"/>
        </w:rPr>
        <w:t>中文</w:t>
      </w:r>
      <w:r>
        <w:rPr>
          <w:rFonts w:hint="eastAsia"/>
        </w:rPr>
        <w:t>（语言文字）。响应文件中如附有外文资料，必须逐一对应翻译成中文并加盖供应商公章后附在相关外文资料后面，否则，供应商的响应文件将作为无效磋商处理。</w:t>
      </w:r>
    </w:p>
    <w:p w14:paraId="479DA001">
      <w:pPr>
        <w:ind w:firstLine="480" w:firstLineChars="200"/>
        <w:rPr>
          <w:rFonts w:hint="eastAsia"/>
        </w:rPr>
      </w:pPr>
      <w:r>
        <w:t>9</w:t>
      </w:r>
      <w:r>
        <w:rPr>
          <w:rFonts w:hint="eastAsia"/>
        </w:rPr>
        <w:t>.2 供应商已印刷好的资料如产品样本、说明书等可以用其他语言，但其中要点应附有中文译文。在解释响应文件时，以译文为准。</w:t>
      </w:r>
    </w:p>
    <w:p w14:paraId="5081C040">
      <w:pPr>
        <w:ind w:firstLine="480" w:firstLineChars="200"/>
        <w:rPr>
          <w:rFonts w:hint="eastAsia"/>
        </w:rPr>
      </w:pPr>
      <w:r>
        <w:rPr>
          <w:rFonts w:hint="eastAsia"/>
        </w:rPr>
        <w:t>9.</w:t>
      </w:r>
      <w:r>
        <w:t>3</w:t>
      </w:r>
      <w:r>
        <w:rPr>
          <w:rFonts w:hint="eastAsia"/>
        </w:rPr>
        <w:t xml:space="preserve"> 除在磋商文件第六章中另有规定外，度量衡单位应使用国际单位制。</w:t>
      </w:r>
    </w:p>
    <w:p w14:paraId="3137C84A">
      <w:pPr>
        <w:ind w:firstLine="480" w:firstLineChars="200"/>
        <w:rPr>
          <w:rFonts w:hint="eastAsia" w:cs="宋体"/>
        </w:rPr>
      </w:pPr>
      <w:r>
        <w:rPr>
          <w:rFonts w:hint="eastAsia"/>
        </w:rPr>
        <w:t>9.</w:t>
      </w:r>
      <w:r>
        <w:t>4</w:t>
      </w:r>
      <w:r>
        <w:rPr>
          <w:rFonts w:hint="eastAsia"/>
        </w:rPr>
        <w:t xml:space="preserve"> 本磋商文件所表述的时间均为北京时间。</w:t>
      </w:r>
    </w:p>
    <w:p w14:paraId="41ED2FD9">
      <w:pPr>
        <w:rPr>
          <w:rFonts w:hint="eastAsia"/>
          <w:b/>
        </w:rPr>
      </w:pPr>
      <w:r>
        <w:rPr>
          <w:rFonts w:hint="eastAsia"/>
          <w:b/>
        </w:rPr>
        <w:t>10.响应文件的组成</w:t>
      </w:r>
      <w:bookmarkEnd w:id="69"/>
    </w:p>
    <w:p w14:paraId="689EA55B">
      <w:pPr>
        <w:ind w:firstLine="480" w:firstLineChars="200"/>
        <w:rPr>
          <w:rFonts w:hint="eastAsia" w:cs="宋体"/>
        </w:rPr>
      </w:pPr>
      <w:r>
        <w:t>10.1</w:t>
      </w:r>
      <w:r>
        <w:rPr>
          <w:rFonts w:hint="eastAsia"/>
        </w:rPr>
        <w:t xml:space="preserve"> 响应文件的组成见第六章“响应文件内容及格式”，供应商应按磋商文件第六章“响应文件内容及格式”要求编制。</w:t>
      </w:r>
    </w:p>
    <w:p w14:paraId="68109BDB">
      <w:pPr>
        <w:rPr>
          <w:rFonts w:hint="eastAsia" w:cs="宋体"/>
          <w:b/>
          <w:bCs/>
        </w:rPr>
      </w:pPr>
      <w:bookmarkStart w:id="70" w:name="_Toc238907015"/>
      <w:r>
        <w:rPr>
          <w:rFonts w:cs="宋体"/>
          <w:b/>
          <w:bCs/>
        </w:rPr>
        <w:t>11</w:t>
      </w:r>
      <w:r>
        <w:rPr>
          <w:rFonts w:hint="eastAsia" w:cs="宋体"/>
          <w:b/>
          <w:bCs/>
        </w:rPr>
        <w:t>.响应文件编制</w:t>
      </w:r>
    </w:p>
    <w:p w14:paraId="1D67D9A0">
      <w:pPr>
        <w:ind w:firstLine="480" w:firstLineChars="200"/>
        <w:rPr>
          <w:rFonts w:hint="eastAsia" w:cs="宋体"/>
          <w:bCs/>
          <w:lang w:val="en-GB"/>
        </w:rPr>
      </w:pPr>
      <w:r>
        <w:rPr>
          <w:rFonts w:cs="宋体"/>
          <w:bCs/>
          <w:lang w:val="en-GB"/>
        </w:rPr>
        <w:t xml:space="preserve">11.1 </w:t>
      </w:r>
      <w:r>
        <w:rPr>
          <w:rFonts w:hint="eastAsia" w:cs="宋体"/>
          <w:bCs/>
          <w:lang w:val="en-GB"/>
        </w:rPr>
        <w:t>供应商的响应文件应按要求装订和封装。</w:t>
      </w:r>
    </w:p>
    <w:p w14:paraId="1A5E4340">
      <w:pPr>
        <w:ind w:firstLine="480" w:firstLineChars="200"/>
        <w:rPr>
          <w:rFonts w:hint="eastAsia" w:cs="宋体"/>
          <w:bCs/>
          <w:lang w:val="en-GB"/>
        </w:rPr>
      </w:pPr>
      <w:r>
        <w:rPr>
          <w:rFonts w:cs="宋体"/>
          <w:bCs/>
          <w:lang w:val="en-GB"/>
        </w:rPr>
        <w:t xml:space="preserve">11.2 </w:t>
      </w:r>
      <w:r>
        <w:rPr>
          <w:rFonts w:hint="eastAsia" w:cs="宋体"/>
          <w:bCs/>
          <w:lang w:val="en-GB"/>
        </w:rPr>
        <w:t>供应商应完整地填写磋商文件中提供的《竞争性磋商响应函》、《报价一览表》等磋商文件中规定的所有内容。</w:t>
      </w:r>
    </w:p>
    <w:p w14:paraId="309E1A2A">
      <w:pPr>
        <w:pStyle w:val="15"/>
        <w:ind w:firstLine="480" w:firstLineChars="200"/>
        <w:rPr>
          <w:rFonts w:hint="eastAsia" w:hAnsi="宋体" w:cs="宋体"/>
          <w:bCs/>
          <w:kern w:val="2"/>
          <w:sz w:val="24"/>
          <w:szCs w:val="24"/>
          <w:lang w:val="en-GB"/>
        </w:rPr>
      </w:pPr>
      <w:r>
        <w:rPr>
          <w:rFonts w:hAnsi="宋体" w:cs="宋体"/>
          <w:bCs/>
          <w:kern w:val="2"/>
          <w:sz w:val="24"/>
          <w:szCs w:val="24"/>
          <w:lang w:val="en-GB"/>
        </w:rPr>
        <w:t xml:space="preserve">11.3 </w:t>
      </w:r>
      <w:r>
        <w:rPr>
          <w:rFonts w:hint="eastAsia" w:hAnsi="宋体" w:cs="宋体"/>
          <w:bCs/>
          <w:kern w:val="2"/>
          <w:sz w:val="24"/>
          <w:szCs w:val="24"/>
          <w:lang w:val="en-GB"/>
        </w:rPr>
        <w:t>供应商必须保证响应文件所提供的全部资料真实可靠，并接受采购代理机构对其中任何资料进一步审查的要求。</w:t>
      </w:r>
    </w:p>
    <w:p w14:paraId="5C813D6C">
      <w:pPr>
        <w:pStyle w:val="15"/>
        <w:ind w:firstLine="480" w:firstLineChars="200"/>
        <w:rPr>
          <w:rFonts w:hint="eastAsia" w:hAnsi="宋体" w:cs="宋体"/>
          <w:bCs/>
          <w:kern w:val="2"/>
          <w:sz w:val="24"/>
          <w:szCs w:val="24"/>
          <w:lang w:val="en-GB"/>
        </w:rPr>
      </w:pPr>
      <w:r>
        <w:rPr>
          <w:rFonts w:hAnsi="宋体" w:cs="宋体"/>
          <w:bCs/>
          <w:kern w:val="2"/>
          <w:sz w:val="24"/>
          <w:szCs w:val="24"/>
          <w:lang w:val="en-GB"/>
        </w:rPr>
        <w:t xml:space="preserve">11.4 </w:t>
      </w:r>
      <w:r>
        <w:rPr>
          <w:rFonts w:hint="eastAsia" w:hAnsi="宋体" w:cs="宋体"/>
          <w:bCs/>
          <w:kern w:val="2"/>
          <w:sz w:val="24"/>
          <w:szCs w:val="24"/>
          <w:lang w:val="en-GB"/>
        </w:rPr>
        <w:t>如果响应文件填报的内容不详，或没有提供磋商文件中所要求的全部资料及数据，使磋商小组无法正常评审的，由此产生的结果由供应商承担。</w:t>
      </w:r>
    </w:p>
    <w:p w14:paraId="0AEACE20">
      <w:pPr>
        <w:pStyle w:val="78"/>
        <w:spacing w:before="0" w:after="0"/>
        <w:ind w:firstLine="480" w:firstLineChars="200"/>
        <w:rPr>
          <w:rFonts w:hint="eastAsia" w:cs="宋体"/>
          <w:bCs w:val="0"/>
          <w:szCs w:val="24"/>
          <w:lang w:val="en-GB"/>
        </w:rPr>
      </w:pPr>
      <w:r>
        <w:rPr>
          <w:rFonts w:cs="宋体"/>
          <w:spacing w:val="0"/>
          <w:kern w:val="2"/>
          <w:szCs w:val="24"/>
          <w:lang w:val="en-GB"/>
        </w:rPr>
        <w:t xml:space="preserve">11.5 </w:t>
      </w:r>
      <w:r>
        <w:rPr>
          <w:rFonts w:hint="eastAsia" w:cs="宋体"/>
          <w:spacing w:val="0"/>
          <w:kern w:val="2"/>
          <w:szCs w:val="24"/>
          <w:lang w:val="en-GB"/>
        </w:rPr>
        <w:t>响应文件外形尺寸应统一为</w:t>
      </w:r>
      <w:r>
        <w:rPr>
          <w:rFonts w:cs="宋体"/>
          <w:spacing w:val="0"/>
          <w:kern w:val="2"/>
          <w:szCs w:val="24"/>
          <w:lang w:val="en-GB"/>
        </w:rPr>
        <w:t>A4</w:t>
      </w:r>
      <w:r>
        <w:rPr>
          <w:rFonts w:hint="eastAsia" w:cs="宋体"/>
          <w:spacing w:val="0"/>
          <w:kern w:val="2"/>
          <w:szCs w:val="24"/>
          <w:lang w:val="en-GB"/>
        </w:rPr>
        <w:t>纸规格，文件所使用的印章必须为企业</w:t>
      </w:r>
      <w:r>
        <w:rPr>
          <w:rFonts w:hint="eastAsia" w:cs="宋体"/>
          <w:bCs w:val="0"/>
          <w:szCs w:val="24"/>
          <w:lang w:val="en-GB"/>
        </w:rPr>
        <w:t>公章，且与供应商名称完全一致，不能以其它业务章或附属机构印章代替。需签字之处必须由当事人亲笔签署。</w:t>
      </w:r>
    </w:p>
    <w:p w14:paraId="7B7A555E">
      <w:pPr>
        <w:pStyle w:val="78"/>
        <w:spacing w:before="0" w:after="0"/>
        <w:ind w:firstLine="520" w:firstLineChars="200"/>
        <w:rPr>
          <w:rFonts w:hint="eastAsia" w:cs="宋体"/>
          <w:bCs w:val="0"/>
          <w:szCs w:val="24"/>
          <w:lang w:val="en-GB"/>
        </w:rPr>
      </w:pPr>
      <w:r>
        <w:rPr>
          <w:rFonts w:cs="宋体"/>
          <w:bCs w:val="0"/>
          <w:szCs w:val="24"/>
        </w:rPr>
        <w:t>11</w:t>
      </w:r>
      <w:r>
        <w:rPr>
          <w:rFonts w:cs="宋体"/>
          <w:bCs w:val="0"/>
          <w:szCs w:val="24"/>
          <w:lang w:val="en-GB"/>
        </w:rPr>
        <w:t>.</w:t>
      </w:r>
      <w:r>
        <w:rPr>
          <w:rFonts w:cs="宋体"/>
          <w:bCs w:val="0"/>
          <w:szCs w:val="24"/>
        </w:rPr>
        <w:t xml:space="preserve">6 </w:t>
      </w:r>
      <w:r>
        <w:rPr>
          <w:rFonts w:hint="eastAsia" w:cs="宋体"/>
          <w:bCs w:val="0"/>
          <w:szCs w:val="24"/>
          <w:lang w:val="en-GB"/>
        </w:rPr>
        <w:t>响应文件每页须按顺序加注页码，装订牢固且不会轻易脱落</w:t>
      </w:r>
      <w:r>
        <w:rPr>
          <w:rFonts w:hint="eastAsia" w:cs="宋体"/>
          <w:b/>
          <w:szCs w:val="24"/>
          <w:lang w:val="en-GB"/>
        </w:rPr>
        <w:t>（注：胶装）</w:t>
      </w:r>
      <w:r>
        <w:rPr>
          <w:rFonts w:hint="eastAsia" w:cs="宋体"/>
          <w:bCs w:val="0"/>
          <w:szCs w:val="24"/>
          <w:lang w:val="en-GB"/>
        </w:rPr>
        <w:t>。如因装订问题而出现漏页或缺页，由此产生的一切后果由供应商自行承担。</w:t>
      </w:r>
    </w:p>
    <w:bookmarkEnd w:id="70"/>
    <w:p w14:paraId="127C66A9">
      <w:pPr>
        <w:rPr>
          <w:rFonts w:hint="eastAsia"/>
          <w:b/>
        </w:rPr>
      </w:pPr>
      <w:bookmarkStart w:id="71" w:name="_Toc238907016"/>
      <w:r>
        <w:rPr>
          <w:rFonts w:hint="eastAsia"/>
          <w:b/>
        </w:rPr>
        <w:t>1</w:t>
      </w:r>
      <w:r>
        <w:rPr>
          <w:b/>
        </w:rPr>
        <w:t>2</w:t>
      </w:r>
      <w:r>
        <w:rPr>
          <w:rFonts w:hint="eastAsia"/>
          <w:b/>
        </w:rPr>
        <w:t>．磋商保证金</w:t>
      </w:r>
    </w:p>
    <w:bookmarkEnd w:id="71"/>
    <w:p w14:paraId="0C80611D">
      <w:pPr>
        <w:snapToGrid w:val="0"/>
        <w:ind w:firstLine="480" w:firstLineChars="200"/>
        <w:rPr>
          <w:rFonts w:hint="eastAsia"/>
        </w:rPr>
      </w:pPr>
      <w:bookmarkStart w:id="72" w:name="_Toc238907014"/>
      <w:bookmarkStart w:id="73" w:name="_Toc238907017"/>
      <w:r>
        <w:rPr>
          <w:rFonts w:hint="eastAsia"/>
        </w:rPr>
        <w:t>本项目对磋商保证金不作要求。</w:t>
      </w:r>
    </w:p>
    <w:p w14:paraId="16E3A75B">
      <w:pPr>
        <w:snapToGrid w:val="0"/>
        <w:rPr>
          <w:rFonts w:hint="eastAsia"/>
          <w:b/>
        </w:rPr>
      </w:pPr>
      <w:r>
        <w:rPr>
          <w:rFonts w:hint="eastAsia"/>
          <w:b/>
        </w:rPr>
        <w:t>1</w:t>
      </w:r>
      <w:r>
        <w:rPr>
          <w:b/>
        </w:rPr>
        <w:t>3</w:t>
      </w:r>
      <w:r>
        <w:rPr>
          <w:rFonts w:hint="eastAsia"/>
          <w:b/>
        </w:rPr>
        <w:t>.响应货币</w:t>
      </w:r>
    </w:p>
    <w:p w14:paraId="0ADFBF45">
      <w:pPr>
        <w:ind w:firstLine="480" w:firstLineChars="200"/>
        <w:rPr>
          <w:rFonts w:hint="eastAsia"/>
        </w:rPr>
      </w:pPr>
      <w:r>
        <w:rPr>
          <w:rFonts w:hint="eastAsia"/>
        </w:rPr>
        <w:t>1</w:t>
      </w:r>
      <w:r>
        <w:t>3</w:t>
      </w:r>
      <w:r>
        <w:rPr>
          <w:rFonts w:hint="eastAsia"/>
        </w:rPr>
        <w:t>.1 响应报价均须以人民币为计算单位。磋商文件另有规定的，从其规定。</w:t>
      </w:r>
    </w:p>
    <w:p w14:paraId="59632366">
      <w:pPr>
        <w:rPr>
          <w:rFonts w:hint="eastAsia"/>
          <w:b/>
        </w:rPr>
      </w:pPr>
      <w:r>
        <w:rPr>
          <w:rFonts w:hint="eastAsia"/>
          <w:b/>
        </w:rPr>
        <w:t>1</w:t>
      </w:r>
      <w:r>
        <w:rPr>
          <w:b/>
        </w:rPr>
        <w:t>4</w:t>
      </w:r>
      <w:r>
        <w:rPr>
          <w:rFonts w:hint="eastAsia"/>
          <w:b/>
        </w:rPr>
        <w:t>.响应报价</w:t>
      </w:r>
      <w:bookmarkEnd w:id="72"/>
    </w:p>
    <w:p w14:paraId="2DC227CC">
      <w:pPr>
        <w:ind w:firstLine="480" w:firstLineChars="200"/>
        <w:rPr>
          <w:rFonts w:hint="eastAsia"/>
        </w:rPr>
      </w:pPr>
      <w:r>
        <w:rPr>
          <w:rFonts w:hint="eastAsia"/>
        </w:rPr>
        <w:t>1</w:t>
      </w:r>
      <w:r>
        <w:t>4</w:t>
      </w:r>
      <w:r>
        <w:rPr>
          <w:rFonts w:hint="eastAsia"/>
        </w:rPr>
        <w:t>.</w:t>
      </w:r>
      <w:r>
        <w:t>1</w:t>
      </w:r>
      <w:bookmarkStart w:id="74" w:name="_Hlk94299321"/>
      <w:r>
        <w:rPr>
          <w:rFonts w:hint="eastAsia"/>
        </w:rPr>
        <w:t>本项目的采购</w:t>
      </w:r>
      <w:bookmarkEnd w:id="74"/>
      <w:r>
        <w:rPr>
          <w:rFonts w:hint="eastAsia"/>
        </w:rPr>
        <w:t>预算金额见磋商文件第一章。</w:t>
      </w:r>
    </w:p>
    <w:p w14:paraId="4D7696FD">
      <w:pPr>
        <w:ind w:firstLine="480" w:firstLineChars="200"/>
        <w:rPr>
          <w:rFonts w:hint="eastAsia"/>
        </w:rPr>
      </w:pPr>
      <w:r>
        <w:rPr>
          <w:rFonts w:hint="eastAsia"/>
        </w:rPr>
        <w:t>1</w:t>
      </w:r>
      <w:r>
        <w:t>4.2</w:t>
      </w:r>
      <w:r>
        <w:rPr>
          <w:rFonts w:hint="eastAsia"/>
        </w:rPr>
        <w:t xml:space="preserve"> 若采用总承包方式，供应商的报价应包括全部货物、服务的价格及相关税费、运输到指定地点的装运费用、安装调试、等其他有关的所有费用。</w:t>
      </w:r>
    </w:p>
    <w:p w14:paraId="7F5C68AC">
      <w:pPr>
        <w:ind w:firstLine="480" w:firstLineChars="200"/>
        <w:rPr>
          <w:rFonts w:hint="eastAsia"/>
        </w:rPr>
      </w:pPr>
      <w:r>
        <w:rPr>
          <w:rFonts w:hint="eastAsia"/>
        </w:rPr>
        <w:t>若采用分包方式，供应商的报价应包括对应分包的全部货物、服务的价格及相关税费、运输到指定地点的装运费用、安装调试、等其他有关的所有费用。</w:t>
      </w:r>
    </w:p>
    <w:p w14:paraId="31738F4C">
      <w:pPr>
        <w:ind w:firstLine="480" w:firstLineChars="200"/>
        <w:rPr>
          <w:rFonts w:hint="eastAsia"/>
        </w:rPr>
      </w:pPr>
      <w:r>
        <w:rPr>
          <w:rFonts w:hint="eastAsia"/>
        </w:rPr>
        <w:t>1</w:t>
      </w:r>
      <w:r>
        <w:t>4</w:t>
      </w:r>
      <w:r>
        <w:rPr>
          <w:rFonts w:hint="eastAsia"/>
        </w:rPr>
        <w:t>.</w:t>
      </w:r>
      <w:r>
        <w:t>3</w:t>
      </w:r>
      <w:r>
        <w:rPr>
          <w:rFonts w:hint="eastAsia"/>
        </w:rPr>
        <w:t xml:space="preserve"> 采购代理机构不接受任何有选择的报价，必须是唯一报价。</w:t>
      </w:r>
    </w:p>
    <w:p w14:paraId="599F7024">
      <w:pPr>
        <w:ind w:firstLine="480" w:firstLineChars="200"/>
        <w:rPr>
          <w:rFonts w:hint="eastAsia"/>
        </w:rPr>
      </w:pPr>
      <w:r>
        <w:t>14.4</w:t>
      </w:r>
      <w:r>
        <w:rPr>
          <w:rFonts w:hint="eastAsia"/>
        </w:rPr>
        <w:t xml:space="preserve"> 预成交供应商的响应报价超过采购预算的，必须征得采购人同意追加预算，否则，采购人有权拒绝预成交供应商，而递选下一个顺位排序人。</w:t>
      </w:r>
    </w:p>
    <w:p w14:paraId="20752578">
      <w:pPr>
        <w:ind w:firstLine="480" w:firstLineChars="200"/>
        <w:rPr>
          <w:rFonts w:hint="eastAsia"/>
        </w:rPr>
      </w:pPr>
      <w:r>
        <w:t>14.5</w:t>
      </w:r>
      <w:r>
        <w:rPr>
          <w:rFonts w:hint="eastAsia"/>
        </w:rPr>
        <w:t xml:space="preserve"> 供应商不能恶意报价，磋商小组认为供应商的报价明显低于其他通过符合性审查供应商的报价，有可能影响产品质量或者不能诚信履约的，应当要求其在评标现场合理的时间内提供书面说明，必要时提交相关证明材料；供应商不能证明其报价合理性的，磋商小组应当将其作为无效磋商处理。</w:t>
      </w:r>
    </w:p>
    <w:p w14:paraId="65FECAEB">
      <w:pPr>
        <w:rPr>
          <w:rFonts w:hint="eastAsia"/>
          <w:b/>
        </w:rPr>
      </w:pPr>
      <w:r>
        <w:rPr>
          <w:rFonts w:hint="eastAsia"/>
          <w:b/>
        </w:rPr>
        <w:t>1</w:t>
      </w:r>
      <w:r>
        <w:rPr>
          <w:b/>
        </w:rPr>
        <w:t>5</w:t>
      </w:r>
      <w:r>
        <w:rPr>
          <w:rFonts w:hint="eastAsia"/>
          <w:b/>
        </w:rPr>
        <w:t>.磋商有效期</w:t>
      </w:r>
      <w:bookmarkEnd w:id="73"/>
    </w:p>
    <w:p w14:paraId="1C81482F">
      <w:pPr>
        <w:ind w:firstLine="480" w:firstLineChars="200"/>
        <w:rPr>
          <w:rFonts w:hint="eastAsia"/>
        </w:rPr>
      </w:pPr>
      <w:r>
        <w:rPr>
          <w:rFonts w:hint="eastAsia"/>
        </w:rPr>
        <w:t>1</w:t>
      </w:r>
      <w:r>
        <w:t>5</w:t>
      </w:r>
      <w:r>
        <w:rPr>
          <w:rFonts w:hint="eastAsia"/>
        </w:rPr>
        <w:t>.l 磋商有效期为从响应文件递交截止之日起计算的</w:t>
      </w:r>
      <w:r>
        <w:rPr>
          <w:rFonts w:hint="eastAsia"/>
          <w:u w:val="single"/>
        </w:rPr>
        <w:t>六十天</w:t>
      </w:r>
      <w:r>
        <w:rPr>
          <w:rFonts w:hint="eastAsia"/>
        </w:rPr>
        <w:t>，有效期短于此规定的响应文件将被视为无效。</w:t>
      </w:r>
    </w:p>
    <w:p w14:paraId="17439921">
      <w:pPr>
        <w:ind w:firstLine="480" w:firstLineChars="200"/>
        <w:rPr>
          <w:rFonts w:hint="eastAsia"/>
        </w:rPr>
      </w:pPr>
      <w:r>
        <w:rPr>
          <w:rFonts w:hint="eastAsia"/>
        </w:rPr>
        <w:t>1</w:t>
      </w:r>
      <w:r>
        <w:t>5</w:t>
      </w:r>
      <w:r>
        <w:rPr>
          <w:rFonts w:hint="eastAsia"/>
        </w:rPr>
        <w:t>.2 在特殊情况下，采购代理机构可在磋商有效期满之前，征得供应商同意延长磋商有效期，要求与答复均应以书面形式进行。供应商可以拒绝接受这一要求而放弃投标，磋商保证金将尽快无息退还。同意这一要求的供应商，无需也不允许修改其响应文件，但须相应延长磋商保证金的有效期。受磋商有效期制约的所有权利和义务均应延长至新的有效期。</w:t>
      </w:r>
    </w:p>
    <w:p w14:paraId="60F8C6AF">
      <w:pPr>
        <w:rPr>
          <w:rFonts w:hint="eastAsia"/>
          <w:b/>
        </w:rPr>
      </w:pPr>
      <w:bookmarkStart w:id="75" w:name="_Toc238907018"/>
      <w:r>
        <w:rPr>
          <w:rFonts w:hint="eastAsia"/>
          <w:b/>
        </w:rPr>
        <w:t>1</w:t>
      </w:r>
      <w:r>
        <w:rPr>
          <w:b/>
        </w:rPr>
        <w:t>6</w:t>
      </w:r>
      <w:r>
        <w:rPr>
          <w:rFonts w:hint="eastAsia"/>
          <w:b/>
        </w:rPr>
        <w:t>.响应文件的数量、签署及形式</w:t>
      </w:r>
      <w:bookmarkEnd w:id="75"/>
    </w:p>
    <w:p w14:paraId="5475FB1E">
      <w:pPr>
        <w:pStyle w:val="77"/>
        <w:rPr>
          <w:rFonts w:hint="eastAsia"/>
        </w:rPr>
      </w:pPr>
      <w:r>
        <w:rPr>
          <w:rFonts w:hint="eastAsia"/>
        </w:rPr>
        <w:t>1</w:t>
      </w:r>
      <w:r>
        <w:t>6</w:t>
      </w:r>
      <w:r>
        <w:rPr>
          <w:rFonts w:hint="eastAsia"/>
        </w:rPr>
        <w:t>.1 供应商递交的响应文件为正本一份，副本贰份，电子版一份（</w:t>
      </w:r>
      <w:r>
        <w:t>PDF</w:t>
      </w:r>
      <w:r>
        <w:rPr>
          <w:rFonts w:hint="eastAsia"/>
        </w:rPr>
        <w:t>和WORD格式，U盘，其中PDF格式为符合盖章签字要求的正本扫描件）。纸质响应文件应用不褪色的墨水中文打印，并装订成册。并在响应文件封面标明“正本”（或“副本”）字样。响应文件的正本与副本应采用左侧方式固定胶装,不得采用活页夹等可随时拆换的方式装订。“正本”和“副本”之间如有差异，以正本为准。</w:t>
      </w:r>
    </w:p>
    <w:p w14:paraId="1F5EC95D">
      <w:pPr>
        <w:ind w:firstLine="480" w:firstLineChars="200"/>
        <w:rPr>
          <w:rFonts w:hint="eastAsia"/>
        </w:rPr>
      </w:pPr>
      <w:bookmarkStart w:id="76" w:name="_Toc238907019"/>
      <w:r>
        <w:t>16.2</w:t>
      </w:r>
      <w:r>
        <w:rPr>
          <w:rFonts w:hint="eastAsia"/>
        </w:rPr>
        <w:t xml:space="preserve"> 响应文件正本须经供应商的法定代表人或其委托代理人在响应文件对应签字处签字和在对应的盖章处盖单位公章，响应文件正本还需逐页盖章或盖骑缝章，副本可以采用经盖章的响应文件正本复印。</w:t>
      </w:r>
    </w:p>
    <w:p w14:paraId="0774F1A1">
      <w:pPr>
        <w:ind w:firstLine="480" w:firstLineChars="200"/>
        <w:rPr>
          <w:rFonts w:hint="eastAsia"/>
        </w:rPr>
      </w:pPr>
      <w:r>
        <w:t xml:space="preserve">16.3 </w:t>
      </w:r>
      <w:r>
        <w:rPr>
          <w:rFonts w:hint="eastAsia"/>
        </w:rPr>
        <w:t>响应文件不得涂改和增删，如要修改错漏处，修改处必须由法定代表人或委托代理人签字、或加盖公章，否则视为无效响应。</w:t>
      </w:r>
    </w:p>
    <w:p w14:paraId="73F0C44C">
      <w:pPr>
        <w:ind w:firstLine="480" w:firstLineChars="200"/>
        <w:rPr>
          <w:rFonts w:hint="eastAsia"/>
        </w:rPr>
      </w:pPr>
      <w:r>
        <w:rPr>
          <w:rFonts w:hint="eastAsia"/>
        </w:rPr>
        <w:t>1</w:t>
      </w:r>
      <w:r>
        <w:t>6</w:t>
      </w:r>
      <w:r>
        <w:rPr>
          <w:rFonts w:hint="eastAsia"/>
        </w:rPr>
        <w:t>.4 响应文件应根据磋商文件的要求制作，签署、盖章且内容应完整，如未按要求或有遗漏，将被视为无效磋商。</w:t>
      </w:r>
    </w:p>
    <w:p w14:paraId="55579953">
      <w:pPr>
        <w:pStyle w:val="3"/>
        <w:rPr>
          <w:rFonts w:hint="eastAsia" w:ascii="黑体" w:hAnsi="仿宋_GB2312"/>
        </w:rPr>
      </w:pPr>
      <w:r>
        <w:rPr>
          <w:rFonts w:hint="eastAsia" w:ascii="黑体" w:hAnsi="仿宋_GB2312"/>
        </w:rPr>
        <w:t>四、响应文件的递交</w:t>
      </w:r>
      <w:bookmarkEnd w:id="76"/>
    </w:p>
    <w:p w14:paraId="67748368">
      <w:pPr>
        <w:rPr>
          <w:rFonts w:hint="eastAsia"/>
          <w:b/>
        </w:rPr>
      </w:pPr>
      <w:bookmarkStart w:id="77" w:name="_Toc238907020"/>
      <w:r>
        <w:rPr>
          <w:rFonts w:hint="eastAsia"/>
          <w:b/>
        </w:rPr>
        <w:t>1</w:t>
      </w:r>
      <w:r>
        <w:rPr>
          <w:b/>
        </w:rPr>
        <w:t>7</w:t>
      </w:r>
      <w:r>
        <w:rPr>
          <w:rFonts w:hint="eastAsia"/>
          <w:b/>
        </w:rPr>
        <w:t>.响应文件的密封及标记</w:t>
      </w:r>
      <w:bookmarkEnd w:id="77"/>
    </w:p>
    <w:p w14:paraId="2AFEEC30">
      <w:pPr>
        <w:ind w:firstLine="480" w:firstLineChars="200"/>
        <w:rPr>
          <w:rFonts w:hint="eastAsia"/>
        </w:rPr>
      </w:pPr>
      <w:bookmarkStart w:id="78" w:name="_Toc238907021"/>
      <w:r>
        <w:t>17.l</w:t>
      </w:r>
      <w:r>
        <w:rPr>
          <w:rFonts w:hint="eastAsia"/>
        </w:rPr>
        <w:t xml:space="preserve"> 供应商可将纸质响应文件正本、所有纸质响应文件副本和电子版响应文件全部密封在一个密封专用袋（箱）中，也可以密封在多个密封专用袋（箱）中，密封专用袋（箱）的封口处应粘贴牢固，并在封口加盖密封骑缝章（供应商公章）。</w:t>
      </w:r>
    </w:p>
    <w:p w14:paraId="4768054F">
      <w:pPr>
        <w:ind w:firstLine="480" w:firstLineChars="200"/>
        <w:rPr>
          <w:rFonts w:hint="eastAsia"/>
        </w:rPr>
      </w:pPr>
      <w:r>
        <w:rPr>
          <w:rFonts w:hint="eastAsia"/>
        </w:rPr>
        <w:t>1</w:t>
      </w:r>
      <w:r>
        <w:t>7</w:t>
      </w:r>
      <w:r>
        <w:rPr>
          <w:rFonts w:hint="eastAsia"/>
        </w:rPr>
        <w:t>.2 供应商仅需将响应文件密封即可，密封专用袋（箱）封面内容格式不做强制要求，内容格式亦可参考如下内容：</w:t>
      </w:r>
    </w:p>
    <w:p w14:paraId="56E0C152">
      <w:pPr>
        <w:ind w:firstLine="480" w:firstLineChars="200"/>
        <w:rPr>
          <w:rFonts w:hint="eastAsia"/>
        </w:rPr>
      </w:pPr>
      <w:r>
        <w:rPr>
          <w:rFonts w:hint="eastAsia"/>
        </w:rPr>
        <w:t>（l）项目编号及项目名称；</w:t>
      </w:r>
    </w:p>
    <w:p w14:paraId="01BB2ECE">
      <w:pPr>
        <w:ind w:firstLine="480" w:firstLineChars="200"/>
        <w:rPr>
          <w:rFonts w:hint="eastAsia"/>
        </w:rPr>
      </w:pPr>
      <w:r>
        <w:rPr>
          <w:rFonts w:hint="eastAsia"/>
        </w:rPr>
        <w:t>（2）分包号（如有的话）；</w:t>
      </w:r>
    </w:p>
    <w:p w14:paraId="236BB5A9">
      <w:pPr>
        <w:ind w:firstLine="480" w:firstLineChars="200"/>
        <w:rPr>
          <w:rFonts w:hint="eastAsia"/>
        </w:rPr>
      </w:pPr>
      <w:r>
        <w:rPr>
          <w:rFonts w:hint="eastAsia"/>
        </w:rPr>
        <w:t>（3）供应商名称、地址、联系人、电话。</w:t>
      </w:r>
    </w:p>
    <w:p w14:paraId="00600D52">
      <w:pPr>
        <w:rPr>
          <w:rFonts w:hint="eastAsia"/>
          <w:b/>
        </w:rPr>
      </w:pPr>
      <w:r>
        <w:rPr>
          <w:rFonts w:hint="eastAsia"/>
          <w:b/>
        </w:rPr>
        <w:t>1</w:t>
      </w:r>
      <w:r>
        <w:rPr>
          <w:b/>
        </w:rPr>
        <w:t>8</w:t>
      </w:r>
      <w:r>
        <w:rPr>
          <w:rFonts w:hint="eastAsia"/>
          <w:b/>
        </w:rPr>
        <w:t>.响应文件递交截止时间</w:t>
      </w:r>
      <w:bookmarkEnd w:id="78"/>
    </w:p>
    <w:p w14:paraId="3C39BC43">
      <w:pPr>
        <w:ind w:firstLine="480" w:firstLineChars="200"/>
        <w:rPr>
          <w:rFonts w:hint="eastAsia"/>
        </w:rPr>
      </w:pPr>
      <w:r>
        <w:rPr>
          <w:rFonts w:hint="eastAsia"/>
        </w:rPr>
        <w:t>1</w:t>
      </w:r>
      <w:r>
        <w:t>8</w:t>
      </w:r>
      <w:r>
        <w:rPr>
          <w:rFonts w:hint="eastAsia"/>
        </w:rPr>
        <w:t>.l 供应商须在响应文件递交截止时间前将响应文件送达采购代理机构规定的磋商地点。</w:t>
      </w:r>
    </w:p>
    <w:p w14:paraId="384F0203">
      <w:pPr>
        <w:ind w:firstLine="480" w:firstLineChars="200"/>
        <w:rPr>
          <w:rFonts w:hint="eastAsia"/>
          <w:b/>
        </w:rPr>
      </w:pPr>
      <w:r>
        <w:rPr>
          <w:rFonts w:hint="eastAsia"/>
        </w:rPr>
        <w:t>1</w:t>
      </w:r>
      <w:r>
        <w:t>8</w:t>
      </w:r>
      <w:r>
        <w:rPr>
          <w:rFonts w:hint="eastAsia"/>
        </w:rPr>
        <w:t>.2 若采购代理机构推迟了响应文件递交截止时间，采购代理机构和供应商受响应文件递交截止时间制约的所有权利和义务均应以新的截止时间为准。</w:t>
      </w:r>
      <w:bookmarkStart w:id="79" w:name="_Toc238907022"/>
    </w:p>
    <w:bookmarkEnd w:id="79"/>
    <w:p w14:paraId="3DC10BA9">
      <w:pPr>
        <w:ind w:firstLine="480" w:firstLineChars="200"/>
        <w:rPr>
          <w:rFonts w:hint="eastAsia"/>
        </w:rPr>
      </w:pPr>
      <w:r>
        <w:rPr>
          <w:rFonts w:hint="eastAsia"/>
        </w:rPr>
        <w:t>1</w:t>
      </w:r>
      <w:r>
        <w:t>8</w:t>
      </w:r>
      <w:r>
        <w:rPr>
          <w:rFonts w:hint="eastAsia"/>
        </w:rPr>
        <w:t>.</w:t>
      </w:r>
      <w:r>
        <w:t>3</w:t>
      </w:r>
      <w:r>
        <w:rPr>
          <w:rFonts w:hint="eastAsia"/>
        </w:rPr>
        <w:t xml:space="preserve"> 在响应文件递交截止时间后递交的响应文件，采购代理机构将拒绝接受。</w:t>
      </w:r>
    </w:p>
    <w:p w14:paraId="1AC4D18E">
      <w:pPr>
        <w:rPr>
          <w:rFonts w:hint="eastAsia"/>
          <w:b/>
        </w:rPr>
      </w:pPr>
      <w:bookmarkStart w:id="80" w:name="_Toc238907023"/>
      <w:r>
        <w:rPr>
          <w:rFonts w:hint="eastAsia"/>
          <w:b/>
        </w:rPr>
        <w:t>19.响应文件的修改和撤回</w:t>
      </w:r>
      <w:bookmarkEnd w:id="80"/>
    </w:p>
    <w:p w14:paraId="4453B6DC">
      <w:pPr>
        <w:ind w:firstLine="480" w:firstLineChars="200"/>
        <w:rPr>
          <w:rFonts w:hint="eastAsia"/>
        </w:rPr>
      </w:pPr>
      <w:r>
        <w:rPr>
          <w:rFonts w:hint="eastAsia"/>
        </w:rPr>
        <w:t>19.l 供应商在提交响应文件后可对其进行修改或撤回，但必须使采购代理机构在响应文件递交截止时间前收到该修改的书面内容或撤回的书面通知，该书面文件须由法人代表或其委托代理人签署。</w:t>
      </w:r>
    </w:p>
    <w:p w14:paraId="5B5DB3A8">
      <w:pPr>
        <w:ind w:firstLine="480" w:firstLineChars="200"/>
        <w:rPr>
          <w:rFonts w:hint="eastAsia"/>
        </w:rPr>
      </w:pPr>
      <w:r>
        <w:rPr>
          <w:rFonts w:hint="eastAsia"/>
        </w:rPr>
        <w:t>19.2 响应文件的修改文件应按文件的规定签署、密封、标记，还须注明“修改响应文件”和“磋商前不得启封”字样。修改文件须在响应文件递交截止时间前送达采购代理机构规定的磋商地点。上述补充或修改若涉及响应报价，必须注明“最终唯一报价”字样，否则将视为有选择的报价。</w:t>
      </w:r>
    </w:p>
    <w:p w14:paraId="110616A9">
      <w:pPr>
        <w:ind w:firstLine="480" w:firstLineChars="200"/>
        <w:rPr>
          <w:rFonts w:hint="eastAsia"/>
        </w:rPr>
      </w:pPr>
      <w:r>
        <w:rPr>
          <w:rFonts w:hint="eastAsia"/>
        </w:rPr>
        <w:t>19.3 供应商不得在响应文件递交截止时间以后修改响应文件。</w:t>
      </w:r>
    </w:p>
    <w:p w14:paraId="6E9FC571">
      <w:pPr>
        <w:ind w:firstLine="480" w:firstLineChars="200"/>
        <w:rPr>
          <w:rFonts w:hint="eastAsia"/>
        </w:rPr>
      </w:pPr>
      <w:r>
        <w:rPr>
          <w:rFonts w:hint="eastAsia"/>
        </w:rPr>
        <w:t>19.4 供应商不得在响应文件递交截止时间起至磋商有效期满前撤回响应文件，否则磋商保证金将被没收。该供应商的响应文件不予退还。</w:t>
      </w:r>
      <w:bookmarkStart w:id="81" w:name="_Toc238907024"/>
    </w:p>
    <w:p w14:paraId="02951DC8">
      <w:pPr>
        <w:pStyle w:val="3"/>
        <w:rPr>
          <w:rFonts w:hint="eastAsia" w:ascii="黑体" w:hAnsi="仿宋_GB2312"/>
        </w:rPr>
      </w:pPr>
      <w:r>
        <w:rPr>
          <w:rFonts w:hint="eastAsia" w:ascii="黑体" w:hAnsi="仿宋_GB2312"/>
        </w:rPr>
        <w:t>五、磋商及评</w:t>
      </w:r>
      <w:bookmarkEnd w:id="81"/>
      <w:r>
        <w:rPr>
          <w:rFonts w:hint="eastAsia" w:ascii="黑体" w:hAnsi="仿宋_GB2312"/>
        </w:rPr>
        <w:t>审</w:t>
      </w:r>
    </w:p>
    <w:p w14:paraId="59200B6C">
      <w:pPr>
        <w:rPr>
          <w:rFonts w:hint="eastAsia"/>
          <w:b/>
        </w:rPr>
      </w:pPr>
      <w:bookmarkStart w:id="82" w:name="_Toc238907025"/>
      <w:r>
        <w:rPr>
          <w:rFonts w:hint="eastAsia"/>
          <w:b/>
        </w:rPr>
        <w:t>20</w:t>
      </w:r>
      <w:bookmarkEnd w:id="82"/>
      <w:r>
        <w:rPr>
          <w:rFonts w:hint="eastAsia"/>
          <w:b/>
        </w:rPr>
        <w:t>.磋商</w:t>
      </w:r>
    </w:p>
    <w:p w14:paraId="69853A86">
      <w:pPr>
        <w:ind w:firstLine="480" w:firstLineChars="200"/>
        <w:rPr>
          <w:rFonts w:hint="eastAsia"/>
        </w:rPr>
      </w:pPr>
      <w:r>
        <w:rPr>
          <w:rFonts w:hint="eastAsia"/>
        </w:rPr>
        <w:t>20.l 采购代理机构按磋商文件第一章规定的时间和地点磋商。采购人代表、采购代理机构有关工作人员参加。监督部门、国家公证机关公证员由其视情况决定是否派代表到现场进行监督。</w:t>
      </w:r>
    </w:p>
    <w:p w14:paraId="518910B8">
      <w:pPr>
        <w:ind w:firstLine="480" w:firstLineChars="200"/>
        <w:rPr>
          <w:rFonts w:hint="eastAsia"/>
        </w:rPr>
      </w:pPr>
      <w:r>
        <w:rPr>
          <w:rFonts w:hint="eastAsia"/>
        </w:rPr>
        <w:t>20.2 供应商应委派委托代理人参加磋商活动，参加磋商的代表须持本人身份证件签名报到以证明其出席。未派委托代理人或不能证明其委托代理人身份的，采购代理机构对响应文件的处理不承担责任。</w:t>
      </w:r>
    </w:p>
    <w:p w14:paraId="096BC7A4">
      <w:pPr>
        <w:ind w:firstLine="480" w:firstLineChars="200"/>
        <w:rPr>
          <w:rFonts w:hint="eastAsia"/>
        </w:rPr>
      </w:pPr>
      <w:r>
        <w:rPr>
          <w:rFonts w:hint="eastAsia"/>
        </w:rPr>
        <w:t>20.3 磋商时，采购代理机构、公证员（如有）或供应商代表将查验响应文件密封情况。</w:t>
      </w:r>
    </w:p>
    <w:p w14:paraId="32B05062">
      <w:pPr>
        <w:ind w:firstLine="480" w:firstLineChars="200"/>
        <w:rPr>
          <w:rFonts w:hint="eastAsia"/>
        </w:rPr>
      </w:pPr>
      <w:r>
        <w:rPr>
          <w:rFonts w:hint="eastAsia"/>
        </w:rPr>
        <w:t>20.4 若响应文件未密封，或供应商未提交磋商保证金（如有要求），采购代理机构将拒绝接受该供应商的响应文件。</w:t>
      </w:r>
    </w:p>
    <w:p w14:paraId="32882A41">
      <w:pPr>
        <w:ind w:firstLine="480" w:firstLineChars="200"/>
        <w:rPr>
          <w:rFonts w:hint="eastAsia"/>
        </w:rPr>
      </w:pPr>
      <w:r>
        <w:rPr>
          <w:rFonts w:hint="eastAsia"/>
        </w:rPr>
        <w:t>20.5 按照第19条规定，同意撤回的响应文件将不予拆封。</w:t>
      </w:r>
    </w:p>
    <w:p w14:paraId="332D61AE">
      <w:pPr>
        <w:rPr>
          <w:rFonts w:hint="eastAsia"/>
          <w:b/>
        </w:rPr>
      </w:pPr>
      <w:bookmarkStart w:id="83" w:name="_Toc238907026"/>
      <w:r>
        <w:rPr>
          <w:rFonts w:hint="eastAsia"/>
          <w:b/>
        </w:rPr>
        <w:t>21.磋商小组</w:t>
      </w:r>
      <w:bookmarkEnd w:id="83"/>
    </w:p>
    <w:p w14:paraId="3BBB391E">
      <w:pPr>
        <w:ind w:firstLine="480" w:firstLineChars="200"/>
        <w:rPr>
          <w:rFonts w:hint="eastAsia"/>
        </w:rPr>
      </w:pPr>
      <w:bookmarkStart w:id="84" w:name="_Toc238907027"/>
      <w:r>
        <w:rPr>
          <w:rFonts w:hint="eastAsia"/>
        </w:rPr>
        <w:t>21.1 受采购人的委托，采购代理机构依法从综合评标专家库随机抽取叁名专家（或委派采购人代表共同）组成叁人磋商小组，该小组独立工作，负责评审所有响应文件并推荐成交候选供应商。</w:t>
      </w:r>
    </w:p>
    <w:p w14:paraId="2ECF8E5E">
      <w:pPr>
        <w:ind w:firstLine="480" w:firstLineChars="200"/>
        <w:rPr>
          <w:rFonts w:hint="eastAsia"/>
        </w:rPr>
      </w:pPr>
      <w:r>
        <w:rPr>
          <w:rFonts w:hint="eastAsia"/>
        </w:rPr>
        <w:t>21.2 评审专家与供应商存在利害关系的，应按照《政府采购评审专家管理办法》第十六条等要求予以回避。</w:t>
      </w:r>
    </w:p>
    <w:p w14:paraId="7523959D">
      <w:pPr>
        <w:rPr>
          <w:rFonts w:hint="eastAsia"/>
          <w:b/>
        </w:rPr>
      </w:pPr>
      <w:r>
        <w:rPr>
          <w:rFonts w:hint="eastAsia"/>
          <w:b/>
        </w:rPr>
        <w:t>22.对响应文件的资格符合性审查</w:t>
      </w:r>
      <w:bookmarkEnd w:id="84"/>
    </w:p>
    <w:p w14:paraId="0877B5F2">
      <w:pPr>
        <w:ind w:firstLine="480" w:firstLineChars="200"/>
        <w:rPr>
          <w:rFonts w:hint="eastAsia"/>
        </w:rPr>
      </w:pPr>
      <w:r>
        <w:rPr>
          <w:rFonts w:hint="eastAsia"/>
        </w:rPr>
        <w:t>22.l 资格符合性审查的内容包括：详见资格符合性审查表。</w:t>
      </w:r>
    </w:p>
    <w:p w14:paraId="04BAFF5A">
      <w:pPr>
        <w:ind w:firstLine="480" w:firstLineChars="200"/>
        <w:rPr>
          <w:rFonts w:hint="eastAsia"/>
        </w:rPr>
      </w:pPr>
      <w:r>
        <w:rPr>
          <w:rFonts w:hint="eastAsia"/>
        </w:rPr>
        <w:t>资格符合性审查的内容只要有一条不满足，则响应文件无效。</w:t>
      </w:r>
    </w:p>
    <w:p w14:paraId="142255ED">
      <w:pPr>
        <w:ind w:firstLine="480" w:firstLineChars="200"/>
        <w:rPr>
          <w:rFonts w:hint="eastAsia"/>
        </w:rPr>
      </w:pPr>
      <w:r>
        <w:rPr>
          <w:rFonts w:hint="eastAsia"/>
        </w:rPr>
        <w:t>22.2 所谓偏离是指响应文件的内容高于或低于磋商文件的相关要求。所谓重大负偏离是指供应商所磋商的范围、质量、数量和合同履行期限等明显不能满足磋商文件的要求。重大负偏离的认定须经磋商小组三分之二以上无记名投票同意。</w:t>
      </w:r>
    </w:p>
    <w:p w14:paraId="1BBE64CE">
      <w:pPr>
        <w:ind w:firstLine="480" w:firstLineChars="200"/>
        <w:rPr>
          <w:rFonts w:hint="eastAsia"/>
        </w:rPr>
      </w:pPr>
      <w:r>
        <w:rPr>
          <w:rFonts w:hint="eastAsia"/>
        </w:rPr>
        <w:t>22.3 判断响应文件的响应与否只根据响应文件本身，而不寻求外部证据。</w:t>
      </w:r>
    </w:p>
    <w:p w14:paraId="5DB90B37">
      <w:pPr>
        <w:ind w:firstLine="480" w:firstLineChars="200"/>
        <w:rPr>
          <w:rFonts w:hint="eastAsia"/>
        </w:rPr>
      </w:pPr>
      <w:r>
        <w:rPr>
          <w:rFonts w:hint="eastAsia"/>
        </w:rPr>
        <w:t>22.4 磋商小组在评审中，对算术错误的修正原则如下:</w:t>
      </w:r>
    </w:p>
    <w:p w14:paraId="2873ECB7">
      <w:pPr>
        <w:ind w:firstLine="480" w:firstLineChars="200"/>
        <w:rPr>
          <w:rFonts w:hint="eastAsia"/>
        </w:rPr>
      </w:pPr>
      <w:r>
        <w:rPr>
          <w:rFonts w:hint="eastAsia"/>
        </w:rPr>
        <w:t>22.4.l 报价一览表（报价表）内容与响应文件中明细表内容不一致的，以报价一览表（报价表）为准</w:t>
      </w:r>
    </w:p>
    <w:p w14:paraId="764E33D1">
      <w:pPr>
        <w:ind w:firstLine="480" w:firstLineChars="200"/>
        <w:rPr>
          <w:rFonts w:hint="eastAsia"/>
        </w:rPr>
      </w:pPr>
      <w:r>
        <w:rPr>
          <w:rFonts w:hint="eastAsia"/>
        </w:rPr>
        <w:t>22.4.2 响应文件的大写金额和小写金额不一致的，以大写金额为准；</w:t>
      </w:r>
    </w:p>
    <w:p w14:paraId="09296305">
      <w:pPr>
        <w:ind w:firstLine="480" w:firstLineChars="200"/>
        <w:rPr>
          <w:rFonts w:hint="eastAsia"/>
        </w:rPr>
      </w:pPr>
      <w:r>
        <w:rPr>
          <w:rFonts w:hint="eastAsia"/>
        </w:rPr>
        <w:t>22.4.3 总价金额与按单价汇总金额不一致的，以单价金额计算结果为准；</w:t>
      </w:r>
    </w:p>
    <w:p w14:paraId="7192988C">
      <w:pPr>
        <w:ind w:firstLine="480" w:firstLineChars="200"/>
        <w:rPr>
          <w:rFonts w:hint="eastAsia"/>
        </w:rPr>
      </w:pPr>
      <w:r>
        <w:rPr>
          <w:rFonts w:hint="eastAsia"/>
        </w:rPr>
        <w:t>22.4.4 单价金额小数点有明显错位的，以总价为准并修改单价。</w:t>
      </w:r>
    </w:p>
    <w:p w14:paraId="5C1B3220">
      <w:pPr>
        <w:ind w:firstLine="480" w:firstLineChars="200"/>
        <w:rPr>
          <w:rFonts w:hint="eastAsia"/>
        </w:rPr>
      </w:pPr>
      <w:r>
        <w:rPr>
          <w:rFonts w:hint="eastAsia"/>
        </w:rPr>
        <w:t>22.4.5 若供应商不同意以上修正，响应文件将视为无效。</w:t>
      </w:r>
    </w:p>
    <w:p w14:paraId="6C6F1421">
      <w:pPr>
        <w:rPr>
          <w:rFonts w:hint="eastAsia"/>
          <w:b/>
        </w:rPr>
      </w:pPr>
      <w:bookmarkStart w:id="85" w:name="_Toc238907028"/>
      <w:r>
        <w:rPr>
          <w:rFonts w:hint="eastAsia"/>
          <w:b/>
        </w:rPr>
        <w:t>23.响应文件的澄清</w:t>
      </w:r>
      <w:bookmarkEnd w:id="85"/>
    </w:p>
    <w:p w14:paraId="06F15DF2">
      <w:pPr>
        <w:ind w:firstLine="480" w:firstLineChars="200"/>
        <w:rPr>
          <w:rFonts w:hint="eastAsia"/>
        </w:rPr>
      </w:pPr>
      <w:r>
        <w:rPr>
          <w:rFonts w:hint="eastAsia"/>
        </w:rPr>
        <w:t>23.1 在评审期间，磋商小组有权要求供应商对其响应文件中含义不明确、同类问题表述不一致或者有明显文字和计算错误的内容进行澄清。供应商应派委托代理人和技术人员按磋商小组通知的时间和地点接受询标。</w:t>
      </w:r>
    </w:p>
    <w:p w14:paraId="2A427010">
      <w:pPr>
        <w:ind w:firstLine="480" w:firstLineChars="200"/>
        <w:rPr>
          <w:rFonts w:hint="eastAsia"/>
        </w:rPr>
      </w:pPr>
      <w:r>
        <w:rPr>
          <w:rFonts w:hint="eastAsia"/>
        </w:rPr>
        <w:t>23.2 磋商小组认为有必要，可要求供应商对某些问题作出必要的澄清、说明和纠正。供应商的澄清、说明或者补正应当采用书面形式，由其授权的代表签字，并不得超出响应文件的范围或者改变响应文件的实质性内容。供应商的书面澄清材料作为响应文件的补充。</w:t>
      </w:r>
    </w:p>
    <w:p w14:paraId="08DD2AD6">
      <w:pPr>
        <w:ind w:firstLine="480" w:firstLineChars="200"/>
        <w:rPr>
          <w:rFonts w:hint="eastAsia"/>
        </w:rPr>
      </w:pPr>
      <w:r>
        <w:rPr>
          <w:rFonts w:hint="eastAsia"/>
        </w:rPr>
        <w:t>23.3 供应商不按磋商小组规定的时间和地点作书面澄清，将视为放弃该权利。</w:t>
      </w:r>
    </w:p>
    <w:p w14:paraId="0E6224FF">
      <w:pPr>
        <w:ind w:firstLine="480" w:firstLineChars="200"/>
        <w:rPr>
          <w:rFonts w:hint="eastAsia"/>
        </w:rPr>
      </w:pPr>
      <w:r>
        <w:rPr>
          <w:rFonts w:hint="eastAsia"/>
        </w:rPr>
        <w:t>23.4 并非每个供应商都将被询标。</w:t>
      </w:r>
    </w:p>
    <w:p w14:paraId="22C2C4F1">
      <w:pPr>
        <w:rPr>
          <w:rFonts w:hint="eastAsia"/>
          <w:b/>
        </w:rPr>
      </w:pPr>
      <w:bookmarkStart w:id="86" w:name="_Toc238907029"/>
      <w:r>
        <w:rPr>
          <w:rFonts w:hint="eastAsia"/>
          <w:b/>
        </w:rPr>
        <w:t>24.评审及</w:t>
      </w:r>
      <w:bookmarkEnd w:id="86"/>
      <w:r>
        <w:rPr>
          <w:rFonts w:hint="eastAsia"/>
          <w:b/>
        </w:rPr>
        <w:t>确定成交候选供应商</w:t>
      </w:r>
    </w:p>
    <w:p w14:paraId="750F30B4">
      <w:pPr>
        <w:ind w:firstLine="480" w:firstLineChars="200"/>
        <w:rPr>
          <w:rFonts w:hint="eastAsia"/>
        </w:rPr>
      </w:pPr>
      <w:r>
        <w:rPr>
          <w:rFonts w:hint="eastAsia"/>
        </w:rPr>
        <w:t>24.1 磋商小组分别对通过资格性审查和符合性审查的响应文件进行评价和比较。</w:t>
      </w:r>
    </w:p>
    <w:p w14:paraId="1390F77D">
      <w:pPr>
        <w:ind w:firstLine="480" w:firstLineChars="200"/>
        <w:rPr>
          <w:rFonts w:hint="eastAsia"/>
        </w:rPr>
      </w:pPr>
      <w:r>
        <w:rPr>
          <w:rFonts w:hint="eastAsia"/>
        </w:rPr>
        <w:t>24.</w:t>
      </w:r>
      <w:r>
        <w:t>2</w:t>
      </w:r>
      <w:r>
        <w:rPr>
          <w:rFonts w:hint="eastAsia"/>
        </w:rPr>
        <w:t xml:space="preserve"> 使用综合评分法的采购项目，提供相同品牌产品且通过资格审查、符合性审查的不同供应商参加同一合同项下磋商的，按一家供应商计算，评审后得分最高的同品牌供应商获得成交供应商推荐资格；评审得分相同的，由采购人或者采购人委托磋商小组按照磋商文件规定的方式确定一个供应商获得成交供应商推荐资格，磋商文件未规定的采取随机抽取方式确定，其他同品牌供应商不作为成交候选供应商。</w:t>
      </w:r>
    </w:p>
    <w:p w14:paraId="3EA15C3E">
      <w:pPr>
        <w:ind w:firstLine="480" w:firstLineChars="200"/>
        <w:rPr>
          <w:rFonts w:hint="eastAsia"/>
        </w:rPr>
      </w:pPr>
      <w:r>
        <w:rPr>
          <w:rFonts w:hint="eastAsia"/>
        </w:rPr>
        <w:t>2</w:t>
      </w:r>
      <w:r>
        <w:t>4.3</w:t>
      </w:r>
      <w:r>
        <w:rPr>
          <w:rFonts w:hint="eastAsia"/>
        </w:rPr>
        <w:t xml:space="preserve"> 非单一产品采购项目，根据磋商文件采购需求中载明的核心产品的情况，多家供应商提供的核心产品品牌相同的，按2</w:t>
      </w:r>
      <w:r>
        <w:t>4</w:t>
      </w:r>
      <w:r>
        <w:rPr>
          <w:rFonts w:hint="eastAsia"/>
        </w:rPr>
        <w:t>.2和2</w:t>
      </w:r>
      <w:r>
        <w:t>4</w:t>
      </w:r>
      <w:r>
        <w:rPr>
          <w:rFonts w:hint="eastAsia"/>
        </w:rPr>
        <w:t>.3规定处理。</w:t>
      </w:r>
    </w:p>
    <w:p w14:paraId="6D85CF67">
      <w:pPr>
        <w:ind w:firstLine="480" w:firstLineChars="200"/>
        <w:rPr>
          <w:rFonts w:hint="eastAsia"/>
        </w:rPr>
      </w:pPr>
      <w:r>
        <w:rPr>
          <w:rFonts w:hint="eastAsia"/>
        </w:rPr>
        <w:t>2</w:t>
      </w:r>
      <w:r>
        <w:t>4.4</w:t>
      </w:r>
      <w:r>
        <w:rPr>
          <w:rFonts w:hint="eastAsia"/>
        </w:rPr>
        <w:t xml:space="preserve"> 磋商小组按公布的磋商文件中“第四章”评审方法、标准和程序对每份响应文件进行评审，确定成交候选供应商。最低响应报价等任何单项因素的最优不能作为成交的保证。</w:t>
      </w:r>
      <w:bookmarkStart w:id="87" w:name="_Toc238907030"/>
    </w:p>
    <w:p w14:paraId="7893DCBF">
      <w:pPr>
        <w:rPr>
          <w:rFonts w:hint="eastAsia"/>
          <w:b/>
        </w:rPr>
      </w:pPr>
      <w:r>
        <w:rPr>
          <w:rFonts w:hint="eastAsia"/>
          <w:b/>
        </w:rPr>
        <w:t>25.磋商过程保密</w:t>
      </w:r>
      <w:bookmarkEnd w:id="87"/>
    </w:p>
    <w:p w14:paraId="0ABC1CD7">
      <w:pPr>
        <w:ind w:firstLine="480" w:firstLineChars="200"/>
        <w:rPr>
          <w:rFonts w:hint="eastAsia"/>
        </w:rPr>
      </w:pPr>
      <w:r>
        <w:rPr>
          <w:rFonts w:hint="eastAsia"/>
        </w:rPr>
        <w:t>25.l 在宣布成交结果之前，凡属于审查、澄清、评价、比较响应文件和成交意向等有关信息，相关当事人均不得泄露给任何供应商或与评审工作无关的人员。</w:t>
      </w:r>
    </w:p>
    <w:p w14:paraId="0C2A6C00">
      <w:pPr>
        <w:ind w:firstLine="480" w:firstLineChars="200"/>
        <w:rPr>
          <w:rFonts w:hint="eastAsia"/>
        </w:rPr>
      </w:pPr>
      <w:r>
        <w:rPr>
          <w:rFonts w:hint="eastAsia"/>
        </w:rPr>
        <w:t>25.2 供应商不得探听上述信息，不得以任何行为影响评审过程，否则其响应文件将被作为无效响应文件。</w:t>
      </w:r>
    </w:p>
    <w:p w14:paraId="5B878A23">
      <w:pPr>
        <w:ind w:firstLine="480" w:firstLineChars="200"/>
        <w:rPr>
          <w:rFonts w:hint="eastAsia"/>
        </w:rPr>
      </w:pPr>
      <w:r>
        <w:rPr>
          <w:rFonts w:hint="eastAsia"/>
        </w:rPr>
        <w:t>25.3 在评审期间，采购代理机构将有专门人员与供应商进行联络。</w:t>
      </w:r>
    </w:p>
    <w:p w14:paraId="4F87D105">
      <w:pPr>
        <w:pStyle w:val="3"/>
        <w:rPr>
          <w:rFonts w:hint="eastAsia" w:ascii="黑体" w:hAnsi="仿宋_GB2312"/>
        </w:rPr>
      </w:pPr>
      <w:bookmarkStart w:id="88" w:name="_Toc238907031"/>
      <w:r>
        <w:rPr>
          <w:rFonts w:hint="eastAsia" w:ascii="黑体" w:hAnsi="仿宋_GB2312"/>
        </w:rPr>
        <w:t>六、</w:t>
      </w:r>
      <w:bookmarkEnd w:id="88"/>
      <w:r>
        <w:rPr>
          <w:rFonts w:hint="eastAsia" w:ascii="黑体" w:hAnsi="仿宋_GB2312"/>
        </w:rPr>
        <w:t>确定成交供应商、签约和质疑投诉</w:t>
      </w:r>
    </w:p>
    <w:p w14:paraId="24F40ECF">
      <w:pPr>
        <w:rPr>
          <w:rFonts w:hint="eastAsia"/>
          <w:b/>
        </w:rPr>
      </w:pPr>
      <w:bookmarkStart w:id="89" w:name="_Toc238907032"/>
      <w:r>
        <w:rPr>
          <w:rFonts w:hint="eastAsia"/>
          <w:b/>
        </w:rPr>
        <w:t>26</w:t>
      </w:r>
      <w:bookmarkEnd w:id="89"/>
      <w:r>
        <w:rPr>
          <w:rFonts w:hint="eastAsia"/>
          <w:b/>
        </w:rPr>
        <w:t>.</w:t>
      </w:r>
      <w:r>
        <w:rPr>
          <w:rFonts w:hint="eastAsia" w:cs="宋体"/>
          <w:b/>
        </w:rPr>
        <w:t>确定成交候选供应商原则</w:t>
      </w:r>
    </w:p>
    <w:p w14:paraId="26151CB2">
      <w:pPr>
        <w:pStyle w:val="82"/>
        <w:numPr>
          <w:ilvl w:val="0"/>
          <w:numId w:val="0"/>
        </w:numPr>
        <w:ind w:firstLine="480" w:firstLineChars="200"/>
        <w:rPr>
          <w:rFonts w:hint="eastAsia"/>
          <w:szCs w:val="24"/>
        </w:rPr>
      </w:pPr>
      <w:r>
        <w:rPr>
          <w:rFonts w:hint="eastAsia"/>
          <w:szCs w:val="24"/>
        </w:rPr>
        <w:t>磋商小组将严格按照磋商文件的要求和条件进行评审,根据评审方法推荐出一至三人为成交候选供应商，并标明排列顺序。采购人将确定排名第一的成交候选供应商为成交供应商并向其授予合同。排名第一的成交候选供应商因不可抗力或者自身原因不能履行合同，或者本文件规定应当提交履约保证金而在规定期限未能提交的，或者是磋商小组出现评审错误，被他人质疑后证实确有其事的，采购人将把合同授予排名第二的成交候选供应商。排名第二的成交候选供应商因前款规定的同样原因不能签订合同的，采购人将把合同授予排名第三的成交候选供应商。</w:t>
      </w:r>
    </w:p>
    <w:p w14:paraId="1E918661">
      <w:pPr>
        <w:rPr>
          <w:rFonts w:hint="eastAsia"/>
          <w:b/>
        </w:rPr>
      </w:pPr>
      <w:bookmarkStart w:id="90" w:name="_Toc238907033"/>
      <w:r>
        <w:rPr>
          <w:rFonts w:hint="eastAsia"/>
          <w:b/>
        </w:rPr>
        <w:t>27.质疑</w:t>
      </w:r>
      <w:bookmarkEnd w:id="90"/>
      <w:r>
        <w:rPr>
          <w:rFonts w:hint="eastAsia"/>
          <w:b/>
        </w:rPr>
        <w:t>的接收和处理、投诉</w:t>
      </w:r>
    </w:p>
    <w:p w14:paraId="4E0E479D">
      <w:pPr>
        <w:ind w:firstLine="480" w:firstLineChars="200"/>
        <w:rPr>
          <w:rFonts w:hint="eastAsia" w:cs="宋体"/>
          <w:kern w:val="0"/>
        </w:rPr>
      </w:pPr>
      <w:r>
        <w:rPr>
          <w:rFonts w:hint="eastAsia"/>
        </w:rPr>
        <w:t>27.1 接收质疑函的联系部门、联系电话和通讯地址：</w:t>
      </w:r>
    </w:p>
    <w:p w14:paraId="6EDEF4E2">
      <w:pPr>
        <w:ind w:firstLine="480" w:firstLineChars="200"/>
        <w:rPr>
          <w:rFonts w:hint="eastAsia" w:cs="宋体"/>
          <w:kern w:val="0"/>
        </w:rPr>
      </w:pPr>
      <w:r>
        <w:rPr>
          <w:rFonts w:hint="eastAsia" w:cs="宋体"/>
          <w:kern w:val="0"/>
        </w:rPr>
        <w:t>联系部门：海南省实博招标代理有限公司   电话：0898-68602571</w:t>
      </w:r>
    </w:p>
    <w:p w14:paraId="232EDBAE">
      <w:pPr>
        <w:ind w:firstLine="480" w:firstLineChars="200"/>
        <w:rPr>
          <w:rFonts w:hint="eastAsia" w:cs="宋体"/>
          <w:kern w:val="0"/>
        </w:rPr>
      </w:pPr>
      <w:r>
        <w:rPr>
          <w:rFonts w:hint="eastAsia" w:cs="宋体"/>
          <w:kern w:val="0"/>
        </w:rPr>
        <w:t>地址：海南省海口市秀英区永万路22号二楼海南省实博招标代理有限公司</w:t>
      </w:r>
    </w:p>
    <w:p w14:paraId="1281EFBB">
      <w:pPr>
        <w:ind w:firstLine="480" w:firstLineChars="200"/>
        <w:rPr>
          <w:rFonts w:hint="eastAsia" w:cs="宋体"/>
          <w:kern w:val="0"/>
        </w:rPr>
      </w:pPr>
      <w:r>
        <w:rPr>
          <w:rFonts w:hint="eastAsia" w:cs="宋体"/>
          <w:kern w:val="0"/>
        </w:rPr>
        <w:t>2</w:t>
      </w:r>
      <w:r>
        <w:rPr>
          <w:rFonts w:hint="eastAsia" w:cs="宋体"/>
          <w:kern w:val="0"/>
          <w:lang w:val="en-GB"/>
        </w:rPr>
        <w:t>7</w:t>
      </w:r>
      <w:r>
        <w:rPr>
          <w:rFonts w:hint="eastAsia" w:cs="宋体"/>
          <w:kern w:val="0"/>
        </w:rPr>
        <w:t>.2 供应商如认为采购文件、采购过程和成交结果使自己的权益受到损害的，应在知道或应知道其权益受到损害之日起七个工作日内以书面形式向采购人、采购代理机构提出质疑。</w:t>
      </w:r>
    </w:p>
    <w:p w14:paraId="66D5EA12">
      <w:pPr>
        <w:ind w:firstLine="480" w:firstLineChars="200"/>
        <w:rPr>
          <w:rFonts w:hint="eastAsia" w:cs="宋体"/>
          <w:kern w:val="0"/>
        </w:rPr>
      </w:pPr>
      <w:r>
        <w:rPr>
          <w:rFonts w:hint="eastAsia" w:cs="宋体"/>
          <w:kern w:val="0"/>
        </w:rPr>
        <w:t>2</w:t>
      </w:r>
      <w:r>
        <w:rPr>
          <w:rFonts w:hint="eastAsia" w:cs="宋体"/>
          <w:kern w:val="0"/>
          <w:lang w:val="en-GB"/>
        </w:rPr>
        <w:t>7</w:t>
      </w:r>
      <w:r>
        <w:rPr>
          <w:rFonts w:hint="eastAsia" w:cs="宋体"/>
          <w:kern w:val="0"/>
        </w:rPr>
        <w:t>.3 供应商可以委托代理人进行质疑和投诉。其授权委托书应当载明代理人的姓名或者名称、代理事项、具体权限、期限和相关事项。供应商为自然人的，应当由本人签字；供应商为法人或者其他组织的，应当由法定代表人、主要负责人签字或者盖章，并加盖公章。代理人提出质疑和投诉，应当提交供应商签署的授权委托书。</w:t>
      </w:r>
    </w:p>
    <w:p w14:paraId="13C51854">
      <w:pPr>
        <w:ind w:firstLine="480" w:firstLineChars="200"/>
        <w:rPr>
          <w:rFonts w:hint="eastAsia" w:cs="宋体"/>
          <w:kern w:val="0"/>
        </w:rPr>
      </w:pPr>
      <w:r>
        <w:rPr>
          <w:rFonts w:hint="eastAsia" w:cs="宋体"/>
          <w:kern w:val="0"/>
        </w:rPr>
        <w:t>27.4供应商须在质疑期内一次性提出针对同一采购程序环节的质疑。</w:t>
      </w:r>
    </w:p>
    <w:p w14:paraId="10001206">
      <w:pPr>
        <w:ind w:firstLine="480" w:firstLineChars="200"/>
        <w:rPr>
          <w:rFonts w:hint="eastAsia" w:cs="宋体"/>
          <w:kern w:val="0"/>
        </w:rPr>
      </w:pPr>
      <w:r>
        <w:rPr>
          <w:rFonts w:hint="eastAsia" w:cs="宋体"/>
          <w:kern w:val="0"/>
        </w:rPr>
        <w:t>27.</w:t>
      </w:r>
      <w:r>
        <w:rPr>
          <w:rFonts w:cs="宋体"/>
          <w:kern w:val="0"/>
        </w:rPr>
        <w:t>5供应商提出质疑应当提交质疑函和必要的证明材料。质疑函应当包括下列内容：</w:t>
      </w:r>
    </w:p>
    <w:p w14:paraId="7A7C0C68">
      <w:pPr>
        <w:ind w:firstLine="480" w:firstLineChars="200"/>
        <w:rPr>
          <w:rFonts w:hint="eastAsia" w:cs="宋体"/>
          <w:kern w:val="0"/>
        </w:rPr>
      </w:pPr>
      <w:r>
        <w:rPr>
          <w:rFonts w:cs="宋体"/>
          <w:kern w:val="0"/>
        </w:rPr>
        <w:t>（</w:t>
      </w:r>
      <w:r>
        <w:rPr>
          <w:rFonts w:hint="eastAsia" w:cs="宋体"/>
          <w:kern w:val="0"/>
        </w:rPr>
        <w:t>1</w:t>
      </w:r>
      <w:r>
        <w:rPr>
          <w:rFonts w:cs="宋体"/>
          <w:kern w:val="0"/>
        </w:rPr>
        <w:t>）供应商的姓名或者名称、地址、邮编、联系人及联系电话；</w:t>
      </w:r>
    </w:p>
    <w:p w14:paraId="02FEE009">
      <w:pPr>
        <w:ind w:firstLine="480" w:firstLineChars="200"/>
        <w:rPr>
          <w:rFonts w:hint="eastAsia" w:cs="宋体"/>
          <w:kern w:val="0"/>
        </w:rPr>
      </w:pPr>
      <w:r>
        <w:rPr>
          <w:rFonts w:cs="宋体"/>
          <w:kern w:val="0"/>
        </w:rPr>
        <w:t>（</w:t>
      </w:r>
      <w:r>
        <w:rPr>
          <w:rFonts w:hint="eastAsia" w:cs="宋体"/>
          <w:kern w:val="0"/>
        </w:rPr>
        <w:t>2</w:t>
      </w:r>
      <w:r>
        <w:rPr>
          <w:rFonts w:cs="宋体"/>
          <w:kern w:val="0"/>
        </w:rPr>
        <w:t>）质疑项目的名称、编号；</w:t>
      </w:r>
    </w:p>
    <w:p w14:paraId="2E2FB51E">
      <w:pPr>
        <w:ind w:firstLine="480" w:firstLineChars="200"/>
        <w:rPr>
          <w:rFonts w:hint="eastAsia" w:cs="宋体"/>
          <w:kern w:val="0"/>
        </w:rPr>
      </w:pPr>
      <w:r>
        <w:rPr>
          <w:rFonts w:cs="宋体"/>
          <w:kern w:val="0"/>
        </w:rPr>
        <w:t>（</w:t>
      </w:r>
      <w:r>
        <w:rPr>
          <w:rFonts w:hint="eastAsia" w:cs="宋体"/>
          <w:kern w:val="0"/>
        </w:rPr>
        <w:t>3</w:t>
      </w:r>
      <w:r>
        <w:rPr>
          <w:rFonts w:cs="宋体"/>
          <w:kern w:val="0"/>
        </w:rPr>
        <w:t>）具体、明确的质疑事项和与质疑事项相关的请求；</w:t>
      </w:r>
    </w:p>
    <w:p w14:paraId="5293398B">
      <w:pPr>
        <w:ind w:firstLine="480" w:firstLineChars="200"/>
        <w:rPr>
          <w:rFonts w:hint="eastAsia" w:cs="宋体"/>
          <w:kern w:val="0"/>
        </w:rPr>
      </w:pPr>
      <w:r>
        <w:rPr>
          <w:rFonts w:cs="宋体"/>
          <w:kern w:val="0"/>
        </w:rPr>
        <w:t>（</w:t>
      </w:r>
      <w:r>
        <w:rPr>
          <w:rFonts w:hint="eastAsia" w:cs="宋体"/>
          <w:kern w:val="0"/>
        </w:rPr>
        <w:t>4</w:t>
      </w:r>
      <w:r>
        <w:rPr>
          <w:rFonts w:cs="宋体"/>
          <w:kern w:val="0"/>
        </w:rPr>
        <w:t>）事实依据；</w:t>
      </w:r>
    </w:p>
    <w:p w14:paraId="30A811AA">
      <w:pPr>
        <w:ind w:firstLine="480" w:firstLineChars="200"/>
        <w:rPr>
          <w:rFonts w:hint="eastAsia" w:cs="宋体"/>
          <w:kern w:val="0"/>
        </w:rPr>
      </w:pPr>
      <w:r>
        <w:rPr>
          <w:rFonts w:cs="宋体"/>
          <w:kern w:val="0"/>
        </w:rPr>
        <w:t>（</w:t>
      </w:r>
      <w:r>
        <w:rPr>
          <w:rFonts w:hint="eastAsia" w:cs="宋体"/>
          <w:kern w:val="0"/>
        </w:rPr>
        <w:t>5</w:t>
      </w:r>
      <w:r>
        <w:rPr>
          <w:rFonts w:cs="宋体"/>
          <w:kern w:val="0"/>
        </w:rPr>
        <w:t>）必要的法律依据；</w:t>
      </w:r>
    </w:p>
    <w:p w14:paraId="63649D0F">
      <w:pPr>
        <w:ind w:firstLine="480" w:firstLineChars="200"/>
        <w:rPr>
          <w:rFonts w:hint="eastAsia" w:cs="宋体"/>
          <w:kern w:val="0"/>
        </w:rPr>
      </w:pPr>
      <w:r>
        <w:rPr>
          <w:rFonts w:cs="宋体"/>
          <w:kern w:val="0"/>
        </w:rPr>
        <w:t>（</w:t>
      </w:r>
      <w:r>
        <w:rPr>
          <w:rFonts w:hint="eastAsia" w:cs="宋体"/>
          <w:kern w:val="0"/>
        </w:rPr>
        <w:t>6</w:t>
      </w:r>
      <w:r>
        <w:rPr>
          <w:rFonts w:cs="宋体"/>
          <w:kern w:val="0"/>
        </w:rPr>
        <w:t>）提出质疑的日期。</w:t>
      </w:r>
    </w:p>
    <w:p w14:paraId="4D40FAE4">
      <w:pPr>
        <w:ind w:firstLine="480" w:firstLineChars="200"/>
        <w:rPr>
          <w:rFonts w:hint="eastAsia" w:cs="宋体"/>
          <w:kern w:val="0"/>
        </w:rPr>
      </w:pPr>
      <w:r>
        <w:rPr>
          <w:rFonts w:cs="宋体"/>
          <w:kern w:val="0"/>
        </w:rPr>
        <w:t>供应商</w:t>
      </w:r>
      <w:r>
        <w:rPr>
          <w:rFonts w:hint="eastAsia" w:cs="宋体"/>
          <w:kern w:val="0"/>
        </w:rPr>
        <w:t>为自然人的，应当由本人签字；供应商为法人或者其他组织的，应当由法定代表人、主要负责人，或者其委托代理人签字或者盖章，并加盖公章。</w:t>
      </w:r>
    </w:p>
    <w:p w14:paraId="671457A2">
      <w:pPr>
        <w:ind w:firstLine="480" w:firstLineChars="200"/>
        <w:rPr>
          <w:rFonts w:hint="eastAsia" w:cs="宋体"/>
          <w:kern w:val="0"/>
        </w:rPr>
      </w:pPr>
      <w:r>
        <w:rPr>
          <w:rFonts w:hint="eastAsia" w:cs="宋体"/>
          <w:kern w:val="0"/>
        </w:rPr>
        <w:t>2</w:t>
      </w:r>
      <w:r>
        <w:rPr>
          <w:rFonts w:hint="eastAsia" w:cs="宋体"/>
          <w:kern w:val="0"/>
          <w:lang w:val="en-GB"/>
        </w:rPr>
        <w:t>7</w:t>
      </w:r>
      <w:r>
        <w:rPr>
          <w:rFonts w:hint="eastAsia" w:cs="宋体"/>
          <w:kern w:val="0"/>
        </w:rPr>
        <w:t>.</w:t>
      </w:r>
      <w:r>
        <w:rPr>
          <w:rFonts w:cs="宋体"/>
          <w:kern w:val="0"/>
        </w:rPr>
        <w:t>6</w:t>
      </w:r>
      <w:r>
        <w:rPr>
          <w:rFonts w:hint="eastAsia" w:cs="宋体"/>
          <w:kern w:val="0"/>
        </w:rPr>
        <w:t xml:space="preserve"> 未按要求填写、匿名、非书面形式、七个工作日之外的质疑均不予受理。</w:t>
      </w:r>
    </w:p>
    <w:p w14:paraId="285836E3">
      <w:pPr>
        <w:ind w:firstLine="480" w:firstLineChars="200"/>
        <w:rPr>
          <w:rFonts w:hint="eastAsia" w:cs="宋体"/>
          <w:kern w:val="0"/>
        </w:rPr>
      </w:pPr>
      <w:r>
        <w:rPr>
          <w:rFonts w:hint="eastAsia" w:cs="宋体"/>
          <w:kern w:val="0"/>
        </w:rPr>
        <w:t>2</w:t>
      </w:r>
      <w:r>
        <w:rPr>
          <w:rFonts w:hint="eastAsia" w:cs="宋体"/>
          <w:kern w:val="0"/>
          <w:lang w:val="en-GB"/>
        </w:rPr>
        <w:t>7</w:t>
      </w:r>
      <w:r>
        <w:rPr>
          <w:rFonts w:hint="eastAsia" w:cs="宋体"/>
          <w:kern w:val="0"/>
        </w:rPr>
        <w:t>.</w:t>
      </w:r>
      <w:r>
        <w:rPr>
          <w:rFonts w:cs="宋体"/>
          <w:kern w:val="0"/>
        </w:rPr>
        <w:t>7</w:t>
      </w:r>
      <w:r>
        <w:rPr>
          <w:rFonts w:hint="eastAsia" w:cs="宋体"/>
          <w:kern w:val="0"/>
        </w:rPr>
        <w:t xml:space="preserve"> 采购人或采购代理机构应当在收到供应商的书面质疑后7个工作日内作出答复，并以书面形式通知质疑供应商和其他有关供应商。</w:t>
      </w:r>
    </w:p>
    <w:p w14:paraId="5A02F5CA">
      <w:pPr>
        <w:ind w:firstLine="480" w:firstLineChars="200"/>
        <w:rPr>
          <w:rFonts w:hint="eastAsia" w:cs="宋体"/>
          <w:kern w:val="0"/>
          <w:lang w:val="en-GB"/>
        </w:rPr>
      </w:pPr>
      <w:r>
        <w:rPr>
          <w:rFonts w:hint="eastAsia" w:cs="宋体"/>
          <w:kern w:val="0"/>
        </w:rPr>
        <w:t>2</w:t>
      </w:r>
      <w:r>
        <w:rPr>
          <w:rFonts w:hint="eastAsia" w:cs="宋体"/>
          <w:kern w:val="0"/>
          <w:lang w:val="en-GB"/>
        </w:rPr>
        <w:t>7</w:t>
      </w:r>
      <w:r>
        <w:rPr>
          <w:rFonts w:hint="eastAsia" w:cs="宋体"/>
          <w:kern w:val="0"/>
        </w:rPr>
        <w:t>.</w:t>
      </w:r>
      <w:r>
        <w:rPr>
          <w:rFonts w:cs="宋体"/>
          <w:kern w:val="0"/>
        </w:rPr>
        <w:t>8</w:t>
      </w:r>
      <w:r>
        <w:rPr>
          <w:rFonts w:hint="eastAsia" w:cs="宋体"/>
        </w:rPr>
        <w:t>采购代理机构</w:t>
      </w:r>
      <w:r>
        <w:rPr>
          <w:rFonts w:hint="eastAsia" w:cs="宋体"/>
          <w:kern w:val="0"/>
          <w:lang w:val="en-GB"/>
        </w:rPr>
        <w:t>在《中华人民共和国政府采购法》规定的时间内没有对供应商的质疑进行回复，或供应商对</w:t>
      </w:r>
      <w:r>
        <w:rPr>
          <w:rFonts w:hint="eastAsia" w:cs="宋体"/>
        </w:rPr>
        <w:t>采购代理机构</w:t>
      </w:r>
      <w:r>
        <w:rPr>
          <w:rFonts w:hint="eastAsia" w:cs="宋体"/>
          <w:kern w:val="0"/>
          <w:lang w:val="en-GB"/>
        </w:rPr>
        <w:t>的回复不满意时，可以在答复期满后15个工作日内按规定向上级主管部门投诉。</w:t>
      </w:r>
    </w:p>
    <w:p w14:paraId="54572DC5">
      <w:pPr>
        <w:rPr>
          <w:rFonts w:hint="eastAsia"/>
          <w:b/>
        </w:rPr>
      </w:pPr>
      <w:r>
        <w:rPr>
          <w:rFonts w:hint="eastAsia"/>
          <w:b/>
        </w:rPr>
        <w:t>28.成交通知</w:t>
      </w:r>
    </w:p>
    <w:p w14:paraId="2EEB8691">
      <w:pPr>
        <w:autoSpaceDE w:val="0"/>
        <w:autoSpaceDN w:val="0"/>
        <w:adjustRightInd w:val="0"/>
        <w:ind w:firstLine="480" w:firstLineChars="200"/>
        <w:rPr>
          <w:rFonts w:hint="eastAsia"/>
        </w:rPr>
      </w:pPr>
      <w:r>
        <w:t>2</w:t>
      </w:r>
      <w:r>
        <w:rPr>
          <w:rFonts w:hint="eastAsia"/>
        </w:rPr>
        <w:t>8</w:t>
      </w:r>
      <w:r>
        <w:t xml:space="preserve">.1 </w:t>
      </w:r>
      <w:r>
        <w:rPr>
          <w:rFonts w:hint="eastAsia"/>
        </w:rPr>
        <w:t>评审结束后确定成交候选供应商，成交公告在法定媒体公告期限为</w:t>
      </w:r>
      <w:r>
        <w:t>1</w:t>
      </w:r>
      <w:r>
        <w:rPr>
          <w:rFonts w:hint="eastAsia"/>
        </w:rPr>
        <w:t>个工作日。</w:t>
      </w:r>
    </w:p>
    <w:p w14:paraId="124FCD7E">
      <w:pPr>
        <w:ind w:firstLine="480" w:firstLineChars="200"/>
        <w:rPr>
          <w:rFonts w:hint="eastAsia"/>
        </w:rPr>
      </w:pPr>
      <w:r>
        <w:t>2</w:t>
      </w:r>
      <w:r>
        <w:rPr>
          <w:rFonts w:hint="eastAsia"/>
        </w:rPr>
        <w:t>8</w:t>
      </w:r>
      <w:r>
        <w:t>.</w:t>
      </w:r>
      <w:r>
        <w:rPr>
          <w:rFonts w:hint="eastAsia"/>
        </w:rPr>
        <w:t>2成交后</w:t>
      </w:r>
      <w:r>
        <w:t>,</w:t>
      </w:r>
      <w:r>
        <w:rPr>
          <w:rFonts w:hint="eastAsia"/>
        </w:rPr>
        <w:t>采购代理机构应将成交结果通知所有的供应商，并向成交供应商发出成交通知书。</w:t>
      </w:r>
    </w:p>
    <w:p w14:paraId="256FC67E">
      <w:pPr>
        <w:ind w:firstLine="480" w:firstLineChars="200"/>
        <w:rPr>
          <w:rFonts w:hint="eastAsia"/>
        </w:rPr>
      </w:pPr>
      <w:r>
        <w:t>2</w:t>
      </w:r>
      <w:r>
        <w:rPr>
          <w:rFonts w:hint="eastAsia"/>
        </w:rPr>
        <w:t>8</w:t>
      </w:r>
      <w:r>
        <w:t>.</w:t>
      </w:r>
      <w:r>
        <w:rPr>
          <w:rFonts w:hint="eastAsia"/>
        </w:rPr>
        <w:t>3成交供应商收到成交通知书后，须立即以书面形式回复采购代理机构，确认成交通知书已收到，并同意接受（若到采购代理机构领取则无需回复）。</w:t>
      </w:r>
    </w:p>
    <w:p w14:paraId="22849DBE">
      <w:pPr>
        <w:ind w:firstLine="480" w:firstLineChars="200"/>
        <w:rPr>
          <w:rFonts w:hint="eastAsia"/>
        </w:rPr>
      </w:pPr>
      <w:r>
        <w:t>2</w:t>
      </w:r>
      <w:r>
        <w:rPr>
          <w:rFonts w:hint="eastAsia"/>
        </w:rPr>
        <w:t>8</w:t>
      </w:r>
      <w:r>
        <w:t>.</w:t>
      </w:r>
      <w:r>
        <w:rPr>
          <w:rFonts w:hint="eastAsia"/>
        </w:rPr>
        <w:t>4 成交通知书将是合同的一个组成部分。</w:t>
      </w:r>
    </w:p>
    <w:p w14:paraId="42220AE6">
      <w:pPr>
        <w:rPr>
          <w:rFonts w:hint="eastAsia"/>
          <w:b/>
        </w:rPr>
      </w:pPr>
      <w:r>
        <w:rPr>
          <w:rFonts w:hint="eastAsia"/>
          <w:b/>
        </w:rPr>
        <w:t>29.签订合同</w:t>
      </w:r>
    </w:p>
    <w:p w14:paraId="041B0755">
      <w:pPr>
        <w:ind w:firstLine="480" w:firstLineChars="200"/>
        <w:rPr>
          <w:rFonts w:hint="eastAsia"/>
        </w:rPr>
      </w:pPr>
      <w:r>
        <w:rPr>
          <w:rFonts w:hint="eastAsia"/>
        </w:rPr>
        <w:t>29</w:t>
      </w:r>
      <w:r>
        <w:t xml:space="preserve">.l </w:t>
      </w:r>
      <w:r>
        <w:rPr>
          <w:rFonts w:hint="eastAsia"/>
        </w:rPr>
        <w:t>成交供应商应按成交通知书规定的时间、地点与采购人签订合同</w:t>
      </w:r>
      <w:r>
        <w:t>,</w:t>
      </w:r>
      <w:r>
        <w:rPr>
          <w:rFonts w:hint="eastAsia"/>
        </w:rPr>
        <w:t>否则磋商保证金将不予退还，给采购人和采购代理机构造成损失的，供应商还应承担赔偿责任。</w:t>
      </w:r>
    </w:p>
    <w:p w14:paraId="74C70764">
      <w:pPr>
        <w:ind w:firstLine="480" w:firstLineChars="200"/>
        <w:rPr>
          <w:rFonts w:hint="eastAsia"/>
        </w:rPr>
      </w:pPr>
      <w:r>
        <w:rPr>
          <w:rFonts w:hint="eastAsia"/>
        </w:rPr>
        <w:t>29</w:t>
      </w:r>
      <w:r>
        <w:t xml:space="preserve">.2 </w:t>
      </w:r>
      <w:r>
        <w:rPr>
          <w:rFonts w:hint="eastAsia"/>
        </w:rPr>
        <w:t>磋商文件、成交供应商的响应文件及评标过程中有关澄清文件均应作为合同附件。</w:t>
      </w:r>
    </w:p>
    <w:p w14:paraId="3A874E17">
      <w:pPr>
        <w:ind w:firstLine="480" w:firstLineChars="200"/>
        <w:rPr>
          <w:rFonts w:hint="eastAsia"/>
        </w:rPr>
      </w:pPr>
      <w:r>
        <w:rPr>
          <w:rFonts w:hint="eastAsia"/>
        </w:rPr>
        <w:t>29</w:t>
      </w:r>
      <w:r>
        <w:t xml:space="preserve">.3 </w:t>
      </w:r>
      <w:r>
        <w:rPr>
          <w:rFonts w:hint="eastAsia"/>
        </w:rPr>
        <w:t>签订合同后，成交供应商应当按照合同约定履行义务，完成项目。不得将货物、工程及其他相关服务进行转包。未经采购人同意，成交供应商不得采用分包的形式履行合同。</w:t>
      </w:r>
      <w:bookmarkStart w:id="91" w:name="_Toc468811121"/>
      <w:bookmarkStart w:id="92" w:name="_Toc483655694"/>
      <w:r>
        <w:rPr>
          <w:rFonts w:hint="eastAsia"/>
        </w:rPr>
        <w:t>否则采购人或采购代理机构有权终止合同，成交供应商的履约保证金（如有）将不予退还。转包或分包造成采购人损失的，成交供应商还应承担相应赔偿责任。</w:t>
      </w:r>
    </w:p>
    <w:p w14:paraId="69B6757B">
      <w:pPr>
        <w:rPr>
          <w:rFonts w:hint="eastAsia"/>
          <w:b/>
        </w:rPr>
      </w:pPr>
      <w:r>
        <w:rPr>
          <w:rFonts w:hint="eastAsia"/>
          <w:b/>
        </w:rPr>
        <w:t>30.腐败和欺诈行为</w:t>
      </w:r>
    </w:p>
    <w:p w14:paraId="3DD5C736">
      <w:pPr>
        <w:ind w:firstLine="480" w:firstLineChars="200"/>
        <w:rPr>
          <w:rFonts w:hint="eastAsia" w:cs="宋体"/>
          <w:kern w:val="0"/>
        </w:rPr>
      </w:pPr>
      <w:r>
        <w:rPr>
          <w:rFonts w:hint="eastAsia" w:cs="宋体"/>
          <w:kern w:val="0"/>
        </w:rPr>
        <w:t>本采购形成的合同项下的买方和卖方（成交供应商）在合同生效和实施过程中应遵守最高的道德标准。为此目的，定义下述条件：</w:t>
      </w:r>
    </w:p>
    <w:p w14:paraId="30655FFD">
      <w:pPr>
        <w:numPr>
          <w:ilvl w:val="0"/>
          <w:numId w:val="2"/>
        </w:numPr>
        <w:ind w:firstLine="480" w:firstLineChars="200"/>
        <w:rPr>
          <w:rFonts w:hint="eastAsia" w:cs="宋体"/>
          <w:kern w:val="0"/>
        </w:rPr>
      </w:pPr>
      <w:r>
        <w:rPr>
          <w:rFonts w:hint="eastAsia" w:cs="宋体"/>
          <w:kern w:val="0"/>
        </w:rPr>
        <w:t>“腐败行为”是指通过提供、给予、接受、索取任何有价值的东西来影响采购人员在采购过程中或合同实施过程中的行为；</w:t>
      </w:r>
    </w:p>
    <w:p w14:paraId="37ABA232">
      <w:pPr>
        <w:numPr>
          <w:ilvl w:val="0"/>
          <w:numId w:val="2"/>
        </w:numPr>
        <w:ind w:firstLine="480" w:firstLineChars="200"/>
        <w:rPr>
          <w:rFonts w:hint="eastAsia" w:cs="宋体"/>
          <w:kern w:val="0"/>
        </w:rPr>
      </w:pPr>
      <w:r>
        <w:rPr>
          <w:rFonts w:hint="eastAsia" w:cs="宋体"/>
          <w:kern w:val="0"/>
        </w:rPr>
        <w:t>“欺诈行为”是指为了影响采购过程或合同实施过程而谎报事实，损害买方和公共利益，包括供应商之间串通（递交响应文件之前和之后），人为地使磋商丧失竞争性，剥夺了买方从竞争中所获得的利益。如果被推荐的成交供应商被认为在本采购合同的竞争中有腐败和欺诈行为，则其磋商将被拒绝。</w:t>
      </w:r>
    </w:p>
    <w:p w14:paraId="3902EF38">
      <w:pPr>
        <w:rPr>
          <w:rFonts w:hint="eastAsia"/>
          <w:b/>
        </w:rPr>
      </w:pPr>
      <w:r>
        <w:rPr>
          <w:rFonts w:hint="eastAsia"/>
          <w:b/>
        </w:rPr>
        <w:t>31.政策功能</w:t>
      </w:r>
      <w:bookmarkEnd w:id="91"/>
      <w:bookmarkEnd w:id="92"/>
    </w:p>
    <w:p w14:paraId="25186F29">
      <w:pPr>
        <w:autoSpaceDE w:val="0"/>
        <w:autoSpaceDN w:val="0"/>
        <w:adjustRightInd w:val="0"/>
        <w:ind w:firstLine="480"/>
        <w:rPr>
          <w:rFonts w:hint="eastAsia"/>
        </w:rPr>
      </w:pPr>
      <w:r>
        <w:rPr>
          <w:rFonts w:hint="eastAsia"/>
        </w:rPr>
        <w:t>31.1政策优惠条件及要求:根据《政府采购促进中小企业发展管理办法》（财库〔2020〕46号）、《关于促进残疾人就业政府采购政策的通知》（财库〔2017〕141号）、《财政部司法部关于政府采购支持监狱企业发展有关问题的通知》（财库〔2014〕68号）、《财政部 发展改革委 生态环境部 市场监管总局 关于调整优化节能产品、环境标志产品政府采购执行机制的通知》（财库〔2019〕9号）、《海南省绿色产品政府采购实施意见（试行）》（琼财采规〔2019〕3号）等有关规定的要求，政府采购项目的政策优惠条件及要求如下。</w:t>
      </w:r>
    </w:p>
    <w:p w14:paraId="15136516">
      <w:pPr>
        <w:autoSpaceDE w:val="0"/>
        <w:autoSpaceDN w:val="0"/>
        <w:adjustRightInd w:val="0"/>
        <w:ind w:firstLine="480"/>
        <w:rPr>
          <w:rFonts w:hint="eastAsia"/>
        </w:rPr>
      </w:pPr>
      <w:r>
        <w:rPr>
          <w:rFonts w:hint="eastAsia"/>
        </w:rPr>
        <w:t>31.1.1 关于小微企业（供应商）残疾人福利性单位和监狱企业产品参与投标</w:t>
      </w:r>
    </w:p>
    <w:p w14:paraId="1DF5DB85">
      <w:pPr>
        <w:autoSpaceDE w:val="0"/>
        <w:autoSpaceDN w:val="0"/>
        <w:adjustRightInd w:val="0"/>
        <w:ind w:firstLine="480"/>
        <w:rPr>
          <w:rFonts w:hint="eastAsia"/>
        </w:rPr>
      </w:pPr>
      <w:r>
        <w:rPr>
          <w:rFonts w:hint="eastAsia"/>
        </w:rPr>
        <w:t>根据《政府采购促进中小企业发展管理办法》（财库〔2020〕46号）、财政部文件《关于促进残疾人就业政府采购政策的通知》（财库〔2017〕141号）及财政部司法部《财政部 司法部关于政府采购支持监狱企业发展有关问题的通知》（财库〔2014〕68号）的要求，对于非专门面对中小微企业、残疾人福利性单位及监狱企业的项目，对小型和微型企业、残疾人福利性单位和监狱企业产品的价格给予</w:t>
      </w:r>
      <w:r>
        <w:rPr>
          <w:rFonts w:hint="eastAsia"/>
          <w:u w:val="single"/>
        </w:rPr>
        <w:t>10%（工程项目为</w:t>
      </w:r>
      <w:r>
        <w:rPr>
          <w:u w:val="single"/>
        </w:rPr>
        <w:t>3%）</w:t>
      </w:r>
      <w:r>
        <w:rPr>
          <w:rFonts w:hint="eastAsia"/>
        </w:rPr>
        <w:t>的扣除，供应商为联合体的，联合体中有小型或微型企业且联合协议中约定小型、微型企业的协议合同金额占到联合体协议合同总金额</w:t>
      </w:r>
      <w:r>
        <w:rPr>
          <w:rFonts w:hint="eastAsia"/>
          <w:u w:val="single"/>
        </w:rPr>
        <w:t>30％</w:t>
      </w:r>
      <w:r>
        <w:rPr>
          <w:rFonts w:hint="eastAsia"/>
        </w:rPr>
        <w:t>以上的，产品的价格给予</w:t>
      </w:r>
      <w:r>
        <w:rPr>
          <w:u w:val="single"/>
        </w:rPr>
        <w:t>4</w:t>
      </w:r>
      <w:r>
        <w:rPr>
          <w:rFonts w:hint="eastAsia"/>
          <w:u w:val="single"/>
        </w:rPr>
        <w:t>%</w:t>
      </w:r>
      <w:r>
        <w:rPr>
          <w:rFonts w:hint="eastAsia"/>
        </w:rPr>
        <w:t>的扣除。（对于同时属于小型和微型企业、残疾人福利性单位和监狱企业的，不重复享受政策），用扣除后的价格参与评审。享受政策优惠的小型、微型供应商须提供合法有效的“中小企业声明函”或“残疾人福利性单位声明函”。监狱企业参加政府采购活动时，应当提供由省级以上监狱管理局、戒毒管理局（含新疆生产建设兵团）出具的属于监狱企业的证明文件。本次采购标的对应的中小企业划分标准所属行业为</w:t>
      </w:r>
      <w:r>
        <w:rPr>
          <w:rFonts w:hint="eastAsia"/>
          <w:b/>
          <w:bCs/>
          <w:u w:val="single"/>
        </w:rPr>
        <w:t>工业</w:t>
      </w:r>
      <w:r>
        <w:rPr>
          <w:rFonts w:hint="eastAsia"/>
        </w:rPr>
        <w:t>，具体的参数投标人请查阅附录1《关于印发中小企业划型标准规定的通知》；依据本办法规定享受扶持政策获得政府采购合同的，小微企业不得将合同分包给大中型企业，中型企业不得将合同分包给大型企业。</w:t>
      </w:r>
    </w:p>
    <w:p w14:paraId="1848E1A0">
      <w:pPr>
        <w:pStyle w:val="13"/>
        <w:ind w:firstLine="480"/>
        <w:rPr>
          <w:rFonts w:hint="eastAsia"/>
        </w:rPr>
      </w:pPr>
      <w:r>
        <w:rPr>
          <w:rFonts w:hint="eastAsia"/>
        </w:rPr>
        <w:t>31.1.2 根据《财政部 发展改革委 生态环境部 市场监管总局 关于调整优化节能产品、环境标志产品政府采购执行机制的通知》（财库〔2019〕9号），提供的产品属于政府强制采购节能产品的，供应商应当选择《节能产品政府采购品目清单》中的产品参与采购活动，并提供有效的节能产品认证证书；环境标志产品的相关优惠政策见“31.1.3”规定。</w:t>
      </w:r>
    </w:p>
    <w:p w14:paraId="001F51B9">
      <w:pPr>
        <w:pStyle w:val="12"/>
        <w:ind w:firstLine="480"/>
        <w:rPr>
          <w:rFonts w:hint="eastAsia" w:cs="宋体"/>
        </w:rPr>
      </w:pPr>
      <w:r>
        <w:rPr>
          <w:rFonts w:hint="eastAsia" w:cs="宋体"/>
        </w:rPr>
        <w:t>31.1.3 根据《海南省绿色产品政府采购实施意见（试行）》 （琼财采规〔2019〕3号），货物类项目：若供应商所提供产品含绿色产品，其视同小微企业、残疾人福利性单位和监狱企业享受“31.1.1”的价格评审优惠（绿色产品库详见《海南省绿色产品政府采购实施意见（试行）》中的附件：政府采购网上商城强制采购环境标志产品清单，其中的清单根据财政部、生态环境部和市场监管总局发布的环境标志产品品目清单进行调整。环境标志产品认证依据相关标准的最新版本。）。服务类项目：目前仅针对印刷服务业，获得环境标志认证的供应商其视同小微企业、残疾人福利性单位和监狱企业享受“31.1.1”的价格评审优惠。</w:t>
      </w:r>
    </w:p>
    <w:p w14:paraId="51625D07">
      <w:pPr>
        <w:pStyle w:val="3"/>
        <w:rPr>
          <w:rFonts w:hint="eastAsia" w:ascii="黑体" w:hAnsi="仿宋_GB2312"/>
        </w:rPr>
      </w:pPr>
      <w:r>
        <w:rPr>
          <w:rFonts w:hint="eastAsia" w:ascii="黑体" w:hAnsi="仿宋_GB2312"/>
        </w:rPr>
        <w:t>七、其他</w:t>
      </w:r>
    </w:p>
    <w:p w14:paraId="5AC00AF9">
      <w:pPr>
        <w:rPr>
          <w:rFonts w:hint="eastAsia"/>
          <w:b/>
        </w:rPr>
      </w:pPr>
      <w:r>
        <w:rPr>
          <w:rFonts w:hint="eastAsia"/>
          <w:b/>
        </w:rPr>
        <w:t>32.其他规定</w:t>
      </w:r>
    </w:p>
    <w:p w14:paraId="46117F70">
      <w:pPr>
        <w:ind w:firstLine="480" w:firstLineChars="200"/>
        <w:rPr>
          <w:rFonts w:hint="eastAsia"/>
        </w:rPr>
      </w:pPr>
      <w:r>
        <w:t>3</w:t>
      </w:r>
      <w:r>
        <w:rPr>
          <w:rFonts w:hint="eastAsia"/>
        </w:rPr>
        <w:t>2.1 本项目不召开答疑会。</w:t>
      </w:r>
    </w:p>
    <w:p w14:paraId="0317370F">
      <w:pPr>
        <w:ind w:firstLine="480" w:firstLineChars="200"/>
        <w:rPr>
          <w:rFonts w:hint="eastAsia"/>
        </w:rPr>
      </w:pPr>
      <w:r>
        <w:t>3</w:t>
      </w:r>
      <w:r>
        <w:rPr>
          <w:rFonts w:hint="eastAsia"/>
        </w:rPr>
        <w:t>2.2 信用信息查询的查询渠道：“中国执行信息公开网”（</w:t>
      </w:r>
      <w:r>
        <w:t>http://zxgk.court.gov.cn/shixin/</w:t>
      </w:r>
      <w:r>
        <w:rPr>
          <w:rFonts w:hint="eastAsia"/>
        </w:rPr>
        <w:t>）、“信用中国”网站（www.creditchina.gov.cn）等相关网站。</w:t>
      </w:r>
    </w:p>
    <w:p w14:paraId="481E8C5A">
      <w:pPr>
        <w:ind w:firstLine="480" w:firstLineChars="200"/>
        <w:rPr>
          <w:rFonts w:hint="eastAsia"/>
        </w:rPr>
      </w:pPr>
      <w:r>
        <w:t>3</w:t>
      </w:r>
      <w:r>
        <w:rPr>
          <w:rFonts w:hint="eastAsia"/>
        </w:rPr>
        <w:t>2.3 信用信息查询的截止时点：</w:t>
      </w:r>
      <w:r>
        <w:rPr>
          <w:rFonts w:hint="eastAsia" w:cs="宋体"/>
        </w:rPr>
        <w:t>采购公告发布时间以后。</w:t>
      </w:r>
    </w:p>
    <w:p w14:paraId="6D812F90">
      <w:pPr>
        <w:ind w:firstLine="480" w:firstLineChars="200"/>
        <w:rPr>
          <w:rFonts w:hint="eastAsia"/>
        </w:rPr>
      </w:pPr>
      <w:r>
        <w:t>3</w:t>
      </w:r>
      <w:r>
        <w:rPr>
          <w:rFonts w:hint="eastAsia"/>
        </w:rPr>
        <w:t>2.4 信用信息查询记录证据留存的具体方式：作为</w:t>
      </w:r>
      <w:r>
        <w:rPr>
          <w:rFonts w:hint="eastAsia"/>
          <w:bCs/>
        </w:rPr>
        <w:t>响应文件的一部分一并留存。</w:t>
      </w:r>
    </w:p>
    <w:p w14:paraId="5FCD8900">
      <w:pPr>
        <w:ind w:firstLine="480" w:firstLineChars="200"/>
        <w:rPr>
          <w:rFonts w:hint="eastAsia"/>
        </w:rPr>
      </w:pPr>
      <w:r>
        <w:t>3</w:t>
      </w:r>
      <w:r>
        <w:rPr>
          <w:rFonts w:hint="eastAsia"/>
        </w:rPr>
        <w:t>2.5 信用信息的使用规则：对列入失信被执行人、重大税收违法案件当事人名单的供应商，将拒绝其参与政府采购活动。</w:t>
      </w:r>
    </w:p>
    <w:p w14:paraId="3A23578B">
      <w:pPr>
        <w:ind w:firstLine="480" w:firstLineChars="200"/>
        <w:rPr>
          <w:rFonts w:hint="eastAsia"/>
        </w:rPr>
      </w:pPr>
      <w:r>
        <w:t>3</w:t>
      </w:r>
      <w:r>
        <w:rPr>
          <w:rFonts w:hint="eastAsia"/>
        </w:rPr>
        <w:t xml:space="preserve">2.6 </w:t>
      </w:r>
      <w:r>
        <w:rPr>
          <w:bCs/>
        </w:rPr>
        <w:t>两个以上的自然人、法人或者其他组织组成一个联合体，以一个</w:t>
      </w:r>
      <w:r>
        <w:rPr>
          <w:rFonts w:hint="eastAsia"/>
          <w:bCs/>
        </w:rPr>
        <w:t>供应商</w:t>
      </w:r>
      <w:r>
        <w:rPr>
          <w:bCs/>
        </w:rPr>
        <w:t>的身份共同参加采购活动的，应当对所有联合体成员进行信用记录查询，联合体成员存在不良信用记录的，视同联合体存在不良信用记录</w:t>
      </w:r>
      <w:r>
        <w:rPr>
          <w:rFonts w:hint="eastAsia"/>
          <w:bCs/>
        </w:rPr>
        <w:t>。</w:t>
      </w:r>
    </w:p>
    <w:p w14:paraId="40C840AD">
      <w:pPr>
        <w:ind w:firstLine="480" w:firstLineChars="200"/>
        <w:rPr>
          <w:rFonts w:hint="eastAsia"/>
        </w:rPr>
      </w:pPr>
      <w:r>
        <w:t>3</w:t>
      </w:r>
      <w:r>
        <w:rPr>
          <w:rFonts w:hint="eastAsia"/>
        </w:rPr>
        <w:t xml:space="preserve">2.7 </w:t>
      </w:r>
      <w:r>
        <w:rPr>
          <w:rFonts w:hint="eastAsia" w:cs="宋体"/>
        </w:rPr>
        <w:t>根据《政府采购法实施条例》及有关释义，银行、保险、石油石化、电力、电信运营商等有行业特殊情况的，其分支机构可参与投标，即其分支机构可视为“具有独立承担民事责任能力的其他组织”。</w:t>
      </w:r>
    </w:p>
    <w:p w14:paraId="47F88E7D">
      <w:pPr>
        <w:ind w:firstLine="480" w:firstLineChars="200"/>
        <w:rPr>
          <w:rFonts w:hint="eastAsia"/>
          <w:bCs/>
        </w:rPr>
      </w:pPr>
      <w:r>
        <w:rPr>
          <w:bCs/>
        </w:rPr>
        <w:t>3</w:t>
      </w:r>
      <w:r>
        <w:rPr>
          <w:rFonts w:hint="eastAsia"/>
          <w:bCs/>
        </w:rPr>
        <w:t>2.8 若供应商为其他组织或个体工商户等非法人供应商，其他组织的负责人、个体工商户的经营者等同于磋商文件中规定的法定代表人，其他组织的负责人、个体工商户经营者的签字同于磋商文件中规定的法定代表人签字。供应商也可以对响应文件中格式进行相应的修改。</w:t>
      </w:r>
    </w:p>
    <w:p w14:paraId="5C88BDE8">
      <w:pPr>
        <w:ind w:firstLine="480" w:firstLineChars="200"/>
        <w:rPr>
          <w:rFonts w:hint="eastAsia"/>
        </w:rPr>
      </w:pPr>
      <w:r>
        <w:t>3</w:t>
      </w:r>
      <w:r>
        <w:rPr>
          <w:rFonts w:hint="eastAsia"/>
        </w:rPr>
        <w:t>2.9 联合体</w:t>
      </w:r>
    </w:p>
    <w:p w14:paraId="1A8C7525">
      <w:pPr>
        <w:ind w:firstLine="480" w:firstLineChars="200"/>
        <w:rPr>
          <w:rFonts w:hint="eastAsia"/>
        </w:rPr>
      </w:pPr>
      <w:r>
        <w:t>3</w:t>
      </w:r>
      <w:r>
        <w:rPr>
          <w:rFonts w:hint="eastAsia"/>
        </w:rPr>
        <w:t>2.9.1 本项目是否允许联合体磋商详见磋商邀请函，若允许联合体磋商，两个以上的自然人、法人或者其他组织可以组成一个联合体，以一个供应商的身份共同参加采购。以联合体参与磋商的，在响应文件编制时，除磋商文件第一章中要求联合体成员提供的证明材料外，其他响应文件内容和格式的内容由联合体牵头人提供即可。。</w:t>
      </w:r>
    </w:p>
    <w:p w14:paraId="2378AF0F">
      <w:pPr>
        <w:ind w:firstLine="480" w:firstLineChars="200"/>
        <w:rPr>
          <w:rFonts w:hint="eastAsia"/>
        </w:rPr>
      </w:pPr>
      <w:r>
        <w:t>3</w:t>
      </w:r>
      <w:r>
        <w:rPr>
          <w:rFonts w:hint="eastAsia"/>
        </w:rPr>
        <w:t>2.9.2 以联合体形式进行参加采购的，应当向采购人提交联合体协议，联合体协议中应载明联合体各方承担的工作和义务，并明确联合体牵头人，授权其代理联合体各方负责项目的所有相关事宜。联合体各方应当共同与采购人签订采购合同，就采购合同约定的事项对采购人承担连带责任。</w:t>
      </w:r>
    </w:p>
    <w:p w14:paraId="0F5E2C14">
      <w:pPr>
        <w:ind w:firstLine="480" w:firstLineChars="200"/>
        <w:rPr>
          <w:rFonts w:hint="eastAsia"/>
        </w:rPr>
      </w:pPr>
      <w:r>
        <w:t>3</w:t>
      </w:r>
      <w:r>
        <w:rPr>
          <w:rFonts w:hint="eastAsia"/>
        </w:rPr>
        <w:t xml:space="preserve">2.9.3 </w:t>
      </w:r>
      <w:r>
        <w:t>联合体中有同类资质的</w:t>
      </w:r>
      <w:r>
        <w:rPr>
          <w:rFonts w:hint="eastAsia"/>
        </w:rPr>
        <w:t>供应商</w:t>
      </w:r>
      <w:r>
        <w:t>按照联合体分工承担相同工作的，应当按照资质等级较低的</w:t>
      </w:r>
      <w:r>
        <w:rPr>
          <w:rFonts w:hint="eastAsia"/>
        </w:rPr>
        <w:t>供应商</w:t>
      </w:r>
      <w:r>
        <w:t>确定资质等级。</w:t>
      </w:r>
    </w:p>
    <w:p w14:paraId="0E01E856">
      <w:pPr>
        <w:ind w:firstLine="480" w:firstLineChars="200"/>
        <w:rPr>
          <w:rFonts w:hint="eastAsia"/>
        </w:rPr>
      </w:pPr>
      <w:r>
        <w:t>3</w:t>
      </w:r>
      <w:r>
        <w:rPr>
          <w:rFonts w:hint="eastAsia"/>
        </w:rPr>
        <w:t>2.9.4 以联合体形式参加采购活动的，联合体各方不得再单独参加或者与其他供应商另外组成联合体参加同一合同项下的采购活动。</w:t>
      </w:r>
    </w:p>
    <w:p w14:paraId="4D3BA713">
      <w:pPr>
        <w:ind w:firstLine="480" w:firstLineChars="200"/>
        <w:rPr>
          <w:rFonts w:hint="eastAsia"/>
        </w:rPr>
      </w:pPr>
      <w:r>
        <w:t>3</w:t>
      </w:r>
      <w:r>
        <w:rPr>
          <w:rFonts w:hint="eastAsia"/>
        </w:rPr>
        <w:t>2.9.5 供应商为联合体的，可以由联合体中的一方或者多方共同交纳磋商保证金，其交纳的保证金对联合体各方均具有约束力。</w:t>
      </w:r>
    </w:p>
    <w:p w14:paraId="0BA218FA">
      <w:pPr>
        <w:ind w:firstLine="480" w:firstLineChars="200"/>
        <w:rPr>
          <w:rFonts w:hint="eastAsia"/>
        </w:rPr>
      </w:pPr>
      <w:r>
        <w:t>3</w:t>
      </w:r>
      <w:r>
        <w:rPr>
          <w:rFonts w:hint="eastAsia"/>
        </w:rPr>
        <w:t>2.9.6 以联合体形式参加采购活动的，其投诉应当由组成联合体的所有供应商共同提出。</w:t>
      </w:r>
    </w:p>
    <w:p w14:paraId="72468C3F">
      <w:pPr>
        <w:pStyle w:val="38"/>
        <w:ind w:firstLine="480"/>
        <w:rPr>
          <w:rFonts w:hint="eastAsia"/>
        </w:rPr>
      </w:pPr>
      <w:r>
        <w:br w:type="page"/>
      </w:r>
    </w:p>
    <w:p w14:paraId="5A663520">
      <w:pPr>
        <w:ind w:firstLine="562"/>
        <w:jc w:val="center"/>
        <w:rPr>
          <w:rFonts w:hint="eastAsia"/>
          <w:b/>
          <w:bCs/>
          <w:sz w:val="28"/>
          <w:szCs w:val="28"/>
        </w:rPr>
      </w:pPr>
      <w:r>
        <w:rPr>
          <w:rFonts w:hint="eastAsia"/>
          <w:b/>
          <w:bCs/>
          <w:sz w:val="28"/>
          <w:szCs w:val="28"/>
        </w:rPr>
        <w:t>附录 1 《关于印发中小企业划型标准规定的通知》</w:t>
      </w:r>
    </w:p>
    <w:p w14:paraId="79AE52CD">
      <w:pPr>
        <w:rPr>
          <w:rFonts w:hint="eastAsia"/>
        </w:rPr>
      </w:pPr>
      <w:r>
        <w:drawing>
          <wp:inline distT="0" distB="0" distL="0" distR="0">
            <wp:extent cx="5752465" cy="8133715"/>
            <wp:effectExtent l="0" t="0" r="635" b="635"/>
            <wp:docPr id="45768461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684611" name="图片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5752465" cy="8133715"/>
                    </a:xfrm>
                    <a:prstGeom prst="rect">
                      <a:avLst/>
                    </a:prstGeom>
                    <a:noFill/>
                    <a:ln>
                      <a:noFill/>
                    </a:ln>
                  </pic:spPr>
                </pic:pic>
              </a:graphicData>
            </a:graphic>
          </wp:inline>
        </w:drawing>
      </w:r>
    </w:p>
    <w:p w14:paraId="4F2D1825">
      <w:pPr>
        <w:rPr>
          <w:rFonts w:hint="eastAsia"/>
          <w:sz w:val="36"/>
          <w:szCs w:val="36"/>
        </w:rPr>
      </w:pPr>
      <w:r>
        <w:drawing>
          <wp:inline distT="0" distB="0" distL="0" distR="0">
            <wp:extent cx="5752465" cy="8133715"/>
            <wp:effectExtent l="0" t="0" r="635" b="635"/>
            <wp:docPr id="180270393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703930" name="图片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5752465" cy="8133715"/>
                    </a:xfrm>
                    <a:prstGeom prst="rect">
                      <a:avLst/>
                    </a:prstGeom>
                    <a:noFill/>
                    <a:ln>
                      <a:noFill/>
                    </a:ln>
                  </pic:spPr>
                </pic:pic>
              </a:graphicData>
            </a:graphic>
          </wp:inline>
        </w:drawing>
      </w:r>
    </w:p>
    <w:p w14:paraId="28B27F8D">
      <w:pPr>
        <w:rPr>
          <w:rFonts w:hint="eastAsia"/>
        </w:rPr>
      </w:pPr>
    </w:p>
    <w:p w14:paraId="09FE13F1">
      <w:pPr>
        <w:pStyle w:val="2"/>
      </w:pPr>
      <w:r>
        <w:rPr>
          <w:rFonts w:hint="eastAsia"/>
          <w:sz w:val="24"/>
          <w:lang w:val="en-GB"/>
        </w:rPr>
        <w:br w:type="page"/>
      </w:r>
      <w:bookmarkStart w:id="93" w:name="_Toc434678182"/>
      <w:bookmarkStart w:id="94" w:name="_Toc194273471"/>
      <w:r>
        <w:rPr>
          <w:rFonts w:hint="eastAsia"/>
        </w:rPr>
        <w:t xml:space="preserve">第三章 </w:t>
      </w:r>
      <w:bookmarkStart w:id="95" w:name="_Toc25783"/>
      <w:bookmarkStart w:id="96" w:name="_Toc22573_WPSOffice_Level1"/>
      <w:r>
        <w:rPr>
          <w:rFonts w:hint="eastAsia"/>
        </w:rPr>
        <w:t xml:space="preserve"> 采购需求</w:t>
      </w:r>
      <w:bookmarkEnd w:id="93"/>
      <w:bookmarkEnd w:id="94"/>
      <w:bookmarkEnd w:id="95"/>
      <w:bookmarkEnd w:id="96"/>
    </w:p>
    <w:p w14:paraId="36C35909">
      <w:pPr>
        <w:rPr>
          <w:rFonts w:hint="eastAsia"/>
          <w:b/>
          <w:bCs/>
        </w:rPr>
      </w:pPr>
      <w:r>
        <w:rPr>
          <w:rFonts w:hint="eastAsia"/>
          <w:b/>
          <w:bCs/>
        </w:rPr>
        <w:t>注：本项目核心产品为产品1台式计算机、产品12全彩LED显示屏。</w:t>
      </w:r>
    </w:p>
    <w:p w14:paraId="49ED55E6">
      <w:pPr>
        <w:rPr>
          <w:rFonts w:hint="eastAsia"/>
          <w:b/>
          <w:bCs/>
        </w:rPr>
      </w:pPr>
      <w:r>
        <w:rPr>
          <w:rFonts w:hint="eastAsia"/>
          <w:b/>
          <w:bCs/>
        </w:rPr>
        <w:t>技术参数中尺寸规格等参数未明确允许偏差的按</w:t>
      </w:r>
      <w:r>
        <w:rPr>
          <w:b/>
          <w:bCs/>
        </w:rPr>
        <w:t>±2%</w:t>
      </w:r>
      <w:r>
        <w:rPr>
          <w:rFonts w:hint="eastAsia"/>
          <w:b/>
          <w:bCs/>
        </w:rPr>
        <w:t>作为允许偏差。带“</w:t>
      </w:r>
      <w:r>
        <w:rPr>
          <w:rFonts w:hint="eastAsia" w:cs="宋体"/>
          <w:kern w:val="0"/>
          <w:sz w:val="22"/>
          <w:szCs w:val="22"/>
          <w:lang w:bidi="ar"/>
        </w:rPr>
        <w:t>▲</w:t>
      </w:r>
      <w:r>
        <w:rPr>
          <w:rFonts w:hint="eastAsia"/>
          <w:b/>
          <w:bCs/>
        </w:rPr>
        <w:t>”</w:t>
      </w:r>
      <w:r>
        <w:rPr>
          <w:b/>
          <w:bCs/>
        </w:rPr>
        <w:t>为</w:t>
      </w:r>
      <w:r>
        <w:rPr>
          <w:rFonts w:hint="eastAsia"/>
          <w:b/>
          <w:bCs/>
        </w:rPr>
        <w:t>重要技术参数</w:t>
      </w:r>
      <w:r>
        <w:rPr>
          <w:b/>
          <w:bCs/>
        </w:rPr>
        <w:t>条款</w:t>
      </w:r>
      <w:r>
        <w:rPr>
          <w:rFonts w:hint="eastAsia"/>
          <w:b/>
          <w:bCs/>
        </w:rPr>
        <w:t>，带“★”</w:t>
      </w:r>
      <w:r>
        <w:rPr>
          <w:b/>
          <w:bCs/>
        </w:rPr>
        <w:t>为不可偏离的实质性条款</w:t>
      </w:r>
      <w:r>
        <w:rPr>
          <w:rFonts w:hint="eastAsia"/>
          <w:b/>
          <w:bCs/>
        </w:rPr>
        <w:t>。</w:t>
      </w:r>
    </w:p>
    <w:p w14:paraId="6A189B0A">
      <w:pPr>
        <w:pStyle w:val="3"/>
        <w:numPr>
          <w:ilvl w:val="0"/>
          <w:numId w:val="3"/>
        </w:numPr>
      </w:pPr>
      <w:r>
        <w:rPr>
          <w:rFonts w:hint="eastAsia"/>
        </w:rPr>
        <w:t>项目概况及采购内容清单</w:t>
      </w:r>
    </w:p>
    <w:p w14:paraId="6DBA3178">
      <w:pPr>
        <w:ind w:firstLine="480" w:firstLineChars="200"/>
        <w:rPr>
          <w:rFonts w:hint="eastAsia" w:cs="宋体"/>
        </w:rPr>
      </w:pPr>
      <w:r>
        <w:rPr>
          <w:rFonts w:hint="eastAsia" w:cs="宋体"/>
        </w:rPr>
        <w:t>1．项目名称：海南省儿童青少年心理健康医学中心基础办公信息设备采购项目</w:t>
      </w:r>
    </w:p>
    <w:p w14:paraId="086D05D3">
      <w:pPr>
        <w:ind w:firstLine="480" w:firstLineChars="200"/>
        <w:rPr>
          <w:rFonts w:hint="eastAsia" w:cs="宋体"/>
        </w:rPr>
      </w:pPr>
      <w:r>
        <w:rPr>
          <w:rFonts w:hint="eastAsia" w:cs="宋体"/>
        </w:rPr>
        <w:t>2．项目编号：</w:t>
      </w:r>
      <w:r>
        <w:rPr>
          <w:rFonts w:hint="eastAsia"/>
          <w:bCs/>
        </w:rPr>
        <w:t>HNSHB-20250310</w:t>
      </w:r>
    </w:p>
    <w:p w14:paraId="09043BF9">
      <w:pPr>
        <w:ind w:firstLine="480" w:firstLineChars="200"/>
        <w:rPr>
          <w:rFonts w:hint="eastAsia" w:cs="宋体"/>
        </w:rPr>
      </w:pPr>
      <w:r>
        <w:rPr>
          <w:rFonts w:hint="eastAsia" w:cs="宋体"/>
        </w:rPr>
        <w:t>3．预算金额：725310元（注：供应商的单价报价不得超过最高单价限价，超过最高单价限价及预算金额的将按无效响应处理，最高单价限价详见“4.采购内容清单”）</w:t>
      </w:r>
    </w:p>
    <w:p w14:paraId="35B1FBE6">
      <w:pPr>
        <w:ind w:firstLine="480" w:firstLineChars="200"/>
        <w:rPr>
          <w:rFonts w:hint="eastAsia" w:cs="宋体"/>
        </w:rPr>
      </w:pPr>
      <w:r>
        <w:rPr>
          <w:rFonts w:hint="eastAsia" w:cs="宋体"/>
        </w:rPr>
        <w:t>4．采购内容清单</w:t>
      </w:r>
    </w:p>
    <w:tbl>
      <w:tblPr>
        <w:tblStyle w:val="28"/>
        <w:tblW w:w="9125" w:type="dxa"/>
        <w:tblInd w:w="96" w:type="dxa"/>
        <w:tblLayout w:type="autofit"/>
        <w:tblCellMar>
          <w:top w:w="0" w:type="dxa"/>
          <w:left w:w="108" w:type="dxa"/>
          <w:bottom w:w="0" w:type="dxa"/>
          <w:right w:w="108" w:type="dxa"/>
        </w:tblCellMar>
      </w:tblPr>
      <w:tblGrid>
        <w:gridCol w:w="727"/>
        <w:gridCol w:w="2124"/>
        <w:gridCol w:w="1920"/>
        <w:gridCol w:w="1456"/>
        <w:gridCol w:w="1050"/>
        <w:gridCol w:w="1848"/>
      </w:tblGrid>
      <w:tr w14:paraId="7FB4C612">
        <w:tblPrEx>
          <w:tblCellMar>
            <w:top w:w="0" w:type="dxa"/>
            <w:left w:w="108" w:type="dxa"/>
            <w:bottom w:w="0" w:type="dxa"/>
            <w:right w:w="108" w:type="dxa"/>
          </w:tblCellMar>
        </w:tblPrEx>
        <w:trPr>
          <w:trHeight w:val="460" w:hRule="atLeast"/>
          <w:tblHeader/>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667B7F">
            <w:pPr>
              <w:widowControl/>
              <w:jc w:val="center"/>
              <w:textAlignment w:val="center"/>
              <w:rPr>
                <w:rFonts w:hint="eastAsia" w:cs="宋体"/>
                <w:b/>
                <w:bCs/>
              </w:rPr>
            </w:pPr>
            <w:r>
              <w:rPr>
                <w:rFonts w:hint="eastAsia" w:cs="宋体"/>
                <w:b/>
                <w:bCs/>
                <w:kern w:val="0"/>
                <w:lang w:bidi="ar"/>
              </w:rPr>
              <w:t>序号</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A401BF">
            <w:pPr>
              <w:widowControl/>
              <w:jc w:val="center"/>
              <w:textAlignment w:val="center"/>
              <w:rPr>
                <w:rFonts w:hint="eastAsia" w:cs="宋体"/>
                <w:b/>
                <w:bCs/>
              </w:rPr>
            </w:pPr>
            <w:r>
              <w:rPr>
                <w:rFonts w:hint="eastAsia" w:cs="宋体"/>
                <w:b/>
                <w:bCs/>
                <w:kern w:val="0"/>
                <w:lang w:bidi="ar"/>
              </w:rPr>
              <w:t>设备名称</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89EB63">
            <w:pPr>
              <w:jc w:val="center"/>
              <w:rPr>
                <w:rFonts w:hint="eastAsia" w:ascii="仿宋" w:hAnsi="仿宋" w:eastAsia="仿宋" w:cs="仿宋"/>
                <w:b/>
              </w:rPr>
            </w:pPr>
            <w:r>
              <w:rPr>
                <w:rFonts w:hint="eastAsia" w:ascii="仿宋" w:hAnsi="仿宋" w:eastAsia="仿宋" w:cs="仿宋"/>
                <w:b/>
              </w:rPr>
              <w:t>最高单价限价</w:t>
            </w:r>
          </w:p>
          <w:p w14:paraId="0167C81A">
            <w:pPr>
              <w:widowControl/>
              <w:jc w:val="center"/>
              <w:textAlignment w:val="center"/>
              <w:rPr>
                <w:rFonts w:hint="eastAsia" w:cs="宋体"/>
                <w:b/>
                <w:bCs/>
              </w:rPr>
            </w:pPr>
            <w:r>
              <w:rPr>
                <w:rFonts w:hint="eastAsia" w:ascii="仿宋" w:hAnsi="仿宋" w:eastAsia="仿宋" w:cs="仿宋"/>
                <w:b/>
              </w:rPr>
              <w:t>（元）</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CBC14B">
            <w:pPr>
              <w:widowControl/>
              <w:jc w:val="center"/>
              <w:textAlignment w:val="center"/>
              <w:rPr>
                <w:rFonts w:hint="eastAsia" w:cs="宋体"/>
                <w:b/>
                <w:bCs/>
              </w:rPr>
            </w:pPr>
            <w:r>
              <w:rPr>
                <w:rFonts w:hint="eastAsia" w:cs="宋体"/>
                <w:b/>
                <w:bCs/>
                <w:kern w:val="0"/>
                <w:lang w:bidi="ar"/>
              </w:rPr>
              <w:t>单位</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61822">
            <w:pPr>
              <w:widowControl/>
              <w:jc w:val="center"/>
              <w:textAlignment w:val="center"/>
              <w:rPr>
                <w:rFonts w:hint="eastAsia" w:cs="宋体"/>
                <w:b/>
                <w:bCs/>
              </w:rPr>
            </w:pPr>
            <w:r>
              <w:rPr>
                <w:rFonts w:hint="eastAsia" w:cs="宋体"/>
                <w:b/>
                <w:bCs/>
                <w:kern w:val="0"/>
                <w:lang w:bidi="ar"/>
              </w:rPr>
              <w:t>数量</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E05640">
            <w:pPr>
              <w:widowControl/>
              <w:jc w:val="center"/>
              <w:textAlignment w:val="center"/>
              <w:rPr>
                <w:rFonts w:hint="eastAsia" w:cs="宋体"/>
                <w:b/>
                <w:bCs/>
              </w:rPr>
            </w:pPr>
            <w:r>
              <w:rPr>
                <w:rFonts w:hint="eastAsia" w:cs="宋体"/>
                <w:b/>
                <w:bCs/>
                <w:kern w:val="0"/>
                <w:lang w:bidi="ar"/>
              </w:rPr>
              <w:t>最高总价限价（元）</w:t>
            </w:r>
          </w:p>
        </w:tc>
      </w:tr>
      <w:tr w14:paraId="31085D01">
        <w:tblPrEx>
          <w:tblCellMar>
            <w:top w:w="0" w:type="dxa"/>
            <w:left w:w="108" w:type="dxa"/>
            <w:bottom w:w="0" w:type="dxa"/>
            <w:right w:w="108" w:type="dxa"/>
          </w:tblCellMar>
        </w:tblPrEx>
        <w:trPr>
          <w:trHeight w:val="57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D680DC">
            <w:pPr>
              <w:widowControl/>
              <w:jc w:val="center"/>
              <w:textAlignment w:val="center"/>
              <w:rPr>
                <w:rFonts w:hint="eastAsia" w:cs="宋体"/>
              </w:rPr>
            </w:pPr>
            <w:r>
              <w:rPr>
                <w:rFonts w:hint="eastAsia" w:cs="宋体"/>
                <w:kern w:val="0"/>
                <w:lang w:bidi="ar"/>
              </w:rPr>
              <w:t>1</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D49B64">
            <w:pPr>
              <w:widowControl/>
              <w:jc w:val="center"/>
              <w:textAlignment w:val="center"/>
              <w:rPr>
                <w:rFonts w:hint="eastAsia" w:cs="宋体"/>
              </w:rPr>
            </w:pPr>
            <w:r>
              <w:rPr>
                <w:rFonts w:hint="eastAsia" w:cs="宋体"/>
                <w:kern w:val="0"/>
                <w:lang w:bidi="ar"/>
              </w:rPr>
              <w:t>台式计算机</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FC45AF">
            <w:pPr>
              <w:widowControl/>
              <w:jc w:val="center"/>
              <w:textAlignment w:val="center"/>
              <w:rPr>
                <w:rFonts w:hint="eastAsia" w:cs="宋体"/>
              </w:rPr>
            </w:pPr>
            <w:r>
              <w:rPr>
                <w:rFonts w:hint="eastAsia" w:cs="宋体"/>
                <w:kern w:val="0"/>
                <w:lang w:bidi="ar"/>
              </w:rPr>
              <w:t>5,400.00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006C99">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96CE2C">
            <w:pPr>
              <w:widowControl/>
              <w:jc w:val="center"/>
              <w:textAlignment w:val="center"/>
              <w:rPr>
                <w:rFonts w:hint="eastAsia" w:cs="宋体"/>
              </w:rPr>
            </w:pPr>
            <w:r>
              <w:rPr>
                <w:rFonts w:hint="eastAsia" w:cs="宋体"/>
                <w:kern w:val="0"/>
                <w:lang w:bidi="ar"/>
              </w:rPr>
              <w:t>52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12685">
            <w:pPr>
              <w:widowControl/>
              <w:jc w:val="center"/>
              <w:textAlignment w:val="center"/>
              <w:rPr>
                <w:rFonts w:hint="eastAsia" w:cs="宋体"/>
              </w:rPr>
            </w:pPr>
            <w:r>
              <w:rPr>
                <w:rFonts w:hint="eastAsia" w:cs="宋体"/>
                <w:kern w:val="0"/>
                <w:lang w:bidi="ar"/>
              </w:rPr>
              <w:t>280,800.00</w:t>
            </w:r>
          </w:p>
        </w:tc>
      </w:tr>
      <w:tr w14:paraId="0B52FE34">
        <w:tblPrEx>
          <w:tblCellMar>
            <w:top w:w="0" w:type="dxa"/>
            <w:left w:w="108" w:type="dxa"/>
            <w:bottom w:w="0" w:type="dxa"/>
            <w:right w:w="108" w:type="dxa"/>
          </w:tblCellMar>
        </w:tblPrEx>
        <w:trPr>
          <w:trHeight w:val="62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80D63">
            <w:pPr>
              <w:widowControl/>
              <w:jc w:val="center"/>
              <w:textAlignment w:val="center"/>
              <w:rPr>
                <w:rFonts w:hint="eastAsia" w:cs="宋体"/>
              </w:rPr>
            </w:pPr>
            <w:r>
              <w:rPr>
                <w:rFonts w:hint="eastAsia" w:cs="宋体"/>
                <w:kern w:val="0"/>
                <w:lang w:bidi="ar"/>
              </w:rPr>
              <w:t>2</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41C1DC">
            <w:pPr>
              <w:widowControl/>
              <w:jc w:val="center"/>
              <w:textAlignment w:val="center"/>
              <w:rPr>
                <w:rFonts w:hint="eastAsia" w:cs="宋体"/>
              </w:rPr>
            </w:pPr>
            <w:r>
              <w:rPr>
                <w:rFonts w:hint="eastAsia" w:cs="宋体"/>
                <w:kern w:val="0"/>
                <w:lang w:bidi="ar"/>
              </w:rPr>
              <w:t>笔记本电脑</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F9043E">
            <w:pPr>
              <w:widowControl/>
              <w:jc w:val="center"/>
              <w:textAlignment w:val="center"/>
              <w:rPr>
                <w:rFonts w:hint="eastAsia" w:cs="宋体"/>
              </w:rPr>
            </w:pPr>
            <w:r>
              <w:rPr>
                <w:rFonts w:hint="eastAsia" w:cs="宋体"/>
                <w:kern w:val="0"/>
                <w:lang w:bidi="ar"/>
              </w:rPr>
              <w:t>5,400.00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06ED71">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DF6D68">
            <w:pPr>
              <w:widowControl/>
              <w:jc w:val="center"/>
              <w:textAlignment w:val="center"/>
              <w:rPr>
                <w:rFonts w:hint="eastAsia" w:cs="宋体"/>
              </w:rPr>
            </w:pPr>
            <w:r>
              <w:rPr>
                <w:rFonts w:hint="eastAsia" w:cs="宋体"/>
                <w:kern w:val="0"/>
                <w:lang w:bidi="ar"/>
              </w:rPr>
              <w:t>6</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FDF55E">
            <w:pPr>
              <w:widowControl/>
              <w:jc w:val="center"/>
              <w:textAlignment w:val="center"/>
              <w:rPr>
                <w:rFonts w:hint="eastAsia" w:cs="宋体"/>
              </w:rPr>
            </w:pPr>
            <w:r>
              <w:rPr>
                <w:rFonts w:hint="eastAsia" w:cs="宋体"/>
                <w:kern w:val="0"/>
                <w:lang w:bidi="ar"/>
              </w:rPr>
              <w:t>32,400.00</w:t>
            </w:r>
          </w:p>
        </w:tc>
      </w:tr>
      <w:tr w14:paraId="34019668">
        <w:tblPrEx>
          <w:tblCellMar>
            <w:top w:w="0" w:type="dxa"/>
            <w:left w:w="108" w:type="dxa"/>
            <w:bottom w:w="0" w:type="dxa"/>
            <w:right w:w="108" w:type="dxa"/>
          </w:tblCellMar>
        </w:tblPrEx>
        <w:trPr>
          <w:trHeight w:val="63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9513C4">
            <w:pPr>
              <w:widowControl/>
              <w:jc w:val="center"/>
              <w:textAlignment w:val="center"/>
              <w:rPr>
                <w:rFonts w:hint="eastAsia" w:cs="宋体"/>
              </w:rPr>
            </w:pPr>
            <w:r>
              <w:rPr>
                <w:rFonts w:hint="eastAsia" w:cs="宋体"/>
                <w:kern w:val="0"/>
                <w:lang w:bidi="ar"/>
              </w:rPr>
              <w:t>3</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1603E">
            <w:pPr>
              <w:widowControl/>
              <w:jc w:val="center"/>
              <w:textAlignment w:val="center"/>
              <w:rPr>
                <w:rFonts w:hint="eastAsia" w:cs="宋体"/>
              </w:rPr>
            </w:pPr>
            <w:r>
              <w:rPr>
                <w:rFonts w:hint="eastAsia" w:cs="宋体"/>
                <w:kern w:val="0"/>
                <w:lang w:bidi="ar"/>
              </w:rPr>
              <w:t>激光打印机</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B7B23">
            <w:pPr>
              <w:widowControl/>
              <w:jc w:val="center"/>
              <w:textAlignment w:val="center"/>
              <w:rPr>
                <w:rFonts w:hint="eastAsia" w:cs="宋体"/>
              </w:rPr>
            </w:pPr>
            <w:r>
              <w:rPr>
                <w:rFonts w:hint="eastAsia" w:cs="宋体"/>
                <w:kern w:val="0"/>
                <w:lang w:bidi="ar"/>
              </w:rPr>
              <w:t>1,850.00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07E82E">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764302">
            <w:pPr>
              <w:widowControl/>
              <w:jc w:val="center"/>
              <w:textAlignment w:val="center"/>
              <w:rPr>
                <w:rFonts w:hint="eastAsia" w:cs="宋体"/>
              </w:rPr>
            </w:pPr>
            <w:r>
              <w:rPr>
                <w:rFonts w:hint="eastAsia" w:cs="宋体"/>
                <w:kern w:val="0"/>
                <w:lang w:bidi="ar"/>
              </w:rPr>
              <w:t>33</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ADF3F6">
            <w:pPr>
              <w:widowControl/>
              <w:jc w:val="center"/>
              <w:textAlignment w:val="center"/>
              <w:rPr>
                <w:rFonts w:hint="eastAsia" w:cs="宋体"/>
              </w:rPr>
            </w:pPr>
            <w:r>
              <w:rPr>
                <w:rFonts w:hint="eastAsia" w:cs="宋体"/>
                <w:kern w:val="0"/>
                <w:lang w:bidi="ar"/>
              </w:rPr>
              <w:t>61,050.00</w:t>
            </w:r>
          </w:p>
        </w:tc>
      </w:tr>
      <w:tr w14:paraId="5B1F5490">
        <w:tblPrEx>
          <w:tblCellMar>
            <w:top w:w="0" w:type="dxa"/>
            <w:left w:w="108" w:type="dxa"/>
            <w:bottom w:w="0" w:type="dxa"/>
            <w:right w:w="108" w:type="dxa"/>
          </w:tblCellMar>
        </w:tblPrEx>
        <w:trPr>
          <w:trHeight w:val="61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09AAA2">
            <w:pPr>
              <w:widowControl/>
              <w:jc w:val="center"/>
              <w:textAlignment w:val="center"/>
              <w:rPr>
                <w:rFonts w:hint="eastAsia" w:cs="宋体"/>
              </w:rPr>
            </w:pPr>
            <w:r>
              <w:rPr>
                <w:rFonts w:hint="eastAsia" w:cs="宋体"/>
                <w:kern w:val="0"/>
                <w:lang w:bidi="ar"/>
              </w:rPr>
              <w:t>4</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94920C">
            <w:pPr>
              <w:widowControl/>
              <w:jc w:val="center"/>
              <w:textAlignment w:val="center"/>
              <w:rPr>
                <w:rFonts w:hint="eastAsia" w:cs="宋体"/>
              </w:rPr>
            </w:pPr>
            <w:r>
              <w:rPr>
                <w:rFonts w:hint="eastAsia" w:cs="宋体"/>
                <w:kern w:val="0"/>
                <w:lang w:bidi="ar"/>
              </w:rPr>
              <w:t>热敏票据打印机</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20746">
            <w:pPr>
              <w:widowControl/>
              <w:jc w:val="center"/>
              <w:textAlignment w:val="center"/>
              <w:rPr>
                <w:rFonts w:hint="eastAsia" w:cs="宋体"/>
              </w:rPr>
            </w:pPr>
            <w:r>
              <w:rPr>
                <w:rFonts w:hint="eastAsia" w:cs="宋体"/>
                <w:kern w:val="0"/>
                <w:lang w:bidi="ar"/>
              </w:rPr>
              <w:t>950.00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2A31D7">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5CC612">
            <w:pPr>
              <w:widowControl/>
              <w:jc w:val="center"/>
              <w:textAlignment w:val="center"/>
              <w:rPr>
                <w:rFonts w:hint="eastAsia" w:cs="宋体"/>
              </w:rPr>
            </w:pPr>
            <w:r>
              <w:rPr>
                <w:rFonts w:hint="eastAsia" w:cs="宋体"/>
                <w:kern w:val="0"/>
                <w:lang w:bidi="ar"/>
              </w:rPr>
              <w:t>4</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97A247">
            <w:pPr>
              <w:widowControl/>
              <w:jc w:val="center"/>
              <w:textAlignment w:val="center"/>
              <w:rPr>
                <w:rFonts w:hint="eastAsia" w:cs="宋体"/>
              </w:rPr>
            </w:pPr>
            <w:r>
              <w:rPr>
                <w:rFonts w:hint="eastAsia" w:cs="宋体"/>
                <w:kern w:val="0"/>
                <w:lang w:bidi="ar"/>
              </w:rPr>
              <w:t>3,800.00</w:t>
            </w:r>
          </w:p>
        </w:tc>
      </w:tr>
      <w:tr w14:paraId="52BB9966">
        <w:tblPrEx>
          <w:tblCellMar>
            <w:top w:w="0" w:type="dxa"/>
            <w:left w:w="108" w:type="dxa"/>
            <w:bottom w:w="0" w:type="dxa"/>
            <w:right w:w="108" w:type="dxa"/>
          </w:tblCellMar>
        </w:tblPrEx>
        <w:trPr>
          <w:trHeight w:val="84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601923">
            <w:pPr>
              <w:widowControl/>
              <w:jc w:val="center"/>
              <w:textAlignment w:val="center"/>
              <w:rPr>
                <w:rFonts w:hint="eastAsia" w:cs="宋体"/>
              </w:rPr>
            </w:pPr>
            <w:r>
              <w:rPr>
                <w:rFonts w:hint="eastAsia" w:cs="宋体"/>
                <w:kern w:val="0"/>
                <w:lang w:bidi="ar"/>
              </w:rPr>
              <w:t>5</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3D10F2">
            <w:pPr>
              <w:widowControl/>
              <w:jc w:val="center"/>
              <w:textAlignment w:val="center"/>
              <w:rPr>
                <w:rFonts w:hint="eastAsia" w:cs="宋体"/>
              </w:rPr>
            </w:pPr>
            <w:r>
              <w:rPr>
                <w:rFonts w:hint="eastAsia" w:cs="宋体"/>
                <w:kern w:val="0"/>
                <w:lang w:bidi="ar"/>
              </w:rPr>
              <w:t>针式票据打印机</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FD28D">
            <w:pPr>
              <w:widowControl/>
              <w:jc w:val="center"/>
              <w:textAlignment w:val="center"/>
              <w:rPr>
                <w:rFonts w:hint="eastAsia" w:cs="宋体"/>
              </w:rPr>
            </w:pPr>
            <w:r>
              <w:rPr>
                <w:rFonts w:hint="eastAsia" w:cs="宋体"/>
                <w:kern w:val="0"/>
                <w:lang w:bidi="ar"/>
              </w:rPr>
              <w:t>2,550.00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74428">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AA1E2C">
            <w:pPr>
              <w:widowControl/>
              <w:jc w:val="center"/>
              <w:textAlignment w:val="center"/>
              <w:rPr>
                <w:rFonts w:hint="eastAsia" w:cs="宋体"/>
              </w:rPr>
            </w:pPr>
            <w:r>
              <w:rPr>
                <w:rFonts w:hint="eastAsia" w:cs="宋体"/>
                <w:kern w:val="0"/>
                <w:lang w:bidi="ar"/>
              </w:rPr>
              <w:t>4</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1490C8">
            <w:pPr>
              <w:widowControl/>
              <w:jc w:val="center"/>
              <w:textAlignment w:val="center"/>
              <w:rPr>
                <w:rFonts w:hint="eastAsia" w:cs="宋体"/>
              </w:rPr>
            </w:pPr>
            <w:r>
              <w:rPr>
                <w:rFonts w:hint="eastAsia" w:cs="宋体"/>
                <w:kern w:val="0"/>
                <w:lang w:bidi="ar"/>
              </w:rPr>
              <w:t>10,200.00</w:t>
            </w:r>
          </w:p>
        </w:tc>
      </w:tr>
      <w:tr w14:paraId="3D3E84BD">
        <w:tblPrEx>
          <w:tblCellMar>
            <w:top w:w="0" w:type="dxa"/>
            <w:left w:w="108" w:type="dxa"/>
            <w:bottom w:w="0" w:type="dxa"/>
            <w:right w:w="108" w:type="dxa"/>
          </w:tblCellMar>
        </w:tblPrEx>
        <w:trPr>
          <w:trHeight w:val="58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76AAC2">
            <w:pPr>
              <w:widowControl/>
              <w:jc w:val="center"/>
              <w:textAlignment w:val="center"/>
              <w:rPr>
                <w:rFonts w:hint="eastAsia" w:cs="宋体"/>
              </w:rPr>
            </w:pPr>
            <w:r>
              <w:rPr>
                <w:rFonts w:hint="eastAsia" w:cs="宋体"/>
                <w:kern w:val="0"/>
                <w:lang w:bidi="ar"/>
              </w:rPr>
              <w:t>6</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90B46D">
            <w:pPr>
              <w:widowControl/>
              <w:jc w:val="center"/>
              <w:textAlignment w:val="center"/>
              <w:rPr>
                <w:rFonts w:hint="eastAsia" w:cs="宋体"/>
              </w:rPr>
            </w:pPr>
            <w:r>
              <w:rPr>
                <w:rFonts w:hint="eastAsia" w:cs="宋体"/>
                <w:kern w:val="0"/>
                <w:lang w:bidi="ar"/>
              </w:rPr>
              <w:t>热敏标签打印机</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F9E28E">
            <w:pPr>
              <w:widowControl/>
              <w:jc w:val="center"/>
              <w:textAlignment w:val="center"/>
              <w:rPr>
                <w:rFonts w:hint="eastAsia" w:cs="宋体"/>
              </w:rPr>
            </w:pPr>
            <w:r>
              <w:rPr>
                <w:rFonts w:hint="eastAsia" w:cs="宋体"/>
                <w:kern w:val="0"/>
                <w:lang w:bidi="ar"/>
              </w:rPr>
              <w:t>980.00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F3691">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9BDB48">
            <w:pPr>
              <w:widowControl/>
              <w:jc w:val="center"/>
              <w:textAlignment w:val="center"/>
              <w:rPr>
                <w:rFonts w:hint="eastAsia" w:cs="宋体"/>
              </w:rPr>
            </w:pPr>
            <w:r>
              <w:rPr>
                <w:rFonts w:hint="eastAsia" w:cs="宋体"/>
                <w:kern w:val="0"/>
                <w:lang w:bidi="ar"/>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04C3C">
            <w:pPr>
              <w:widowControl/>
              <w:jc w:val="center"/>
              <w:textAlignment w:val="center"/>
              <w:rPr>
                <w:rFonts w:hint="eastAsia" w:cs="宋体"/>
              </w:rPr>
            </w:pPr>
            <w:r>
              <w:rPr>
                <w:rFonts w:hint="eastAsia" w:cs="宋体"/>
                <w:kern w:val="0"/>
                <w:lang w:bidi="ar"/>
              </w:rPr>
              <w:t>1,960.00</w:t>
            </w:r>
          </w:p>
        </w:tc>
      </w:tr>
      <w:tr w14:paraId="4F3BC190">
        <w:tblPrEx>
          <w:tblCellMar>
            <w:top w:w="0" w:type="dxa"/>
            <w:left w:w="108" w:type="dxa"/>
            <w:bottom w:w="0" w:type="dxa"/>
            <w:right w:w="108" w:type="dxa"/>
          </w:tblCellMar>
        </w:tblPrEx>
        <w:trPr>
          <w:trHeight w:val="100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7B0D2">
            <w:pPr>
              <w:widowControl/>
              <w:jc w:val="center"/>
              <w:textAlignment w:val="center"/>
              <w:rPr>
                <w:rFonts w:hint="eastAsia" w:cs="宋体"/>
              </w:rPr>
            </w:pPr>
            <w:r>
              <w:rPr>
                <w:rFonts w:hint="eastAsia" w:cs="宋体"/>
                <w:kern w:val="0"/>
                <w:lang w:bidi="ar"/>
              </w:rPr>
              <w:t>7</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FD820">
            <w:pPr>
              <w:widowControl/>
              <w:jc w:val="center"/>
              <w:textAlignment w:val="center"/>
              <w:rPr>
                <w:rFonts w:hint="eastAsia" w:cs="宋体"/>
              </w:rPr>
            </w:pPr>
            <w:r>
              <w:rPr>
                <w:rFonts w:hint="eastAsia" w:cs="宋体"/>
                <w:kern w:val="0"/>
                <w:lang w:bidi="ar"/>
              </w:rPr>
              <w:t>多功能一体机</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F6C2A">
            <w:pPr>
              <w:widowControl/>
              <w:jc w:val="center"/>
              <w:textAlignment w:val="center"/>
              <w:rPr>
                <w:rFonts w:hint="eastAsia" w:cs="宋体"/>
              </w:rPr>
            </w:pPr>
            <w:r>
              <w:rPr>
                <w:rFonts w:hint="eastAsia" w:cs="宋体"/>
                <w:kern w:val="0"/>
                <w:lang w:bidi="ar"/>
              </w:rPr>
              <w:t>3,900.00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82F47">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12A1">
            <w:pPr>
              <w:widowControl/>
              <w:jc w:val="center"/>
              <w:textAlignment w:val="center"/>
              <w:rPr>
                <w:rFonts w:hint="eastAsia" w:cs="宋体"/>
              </w:rPr>
            </w:pPr>
            <w:r>
              <w:rPr>
                <w:rFonts w:hint="eastAsia" w:cs="宋体"/>
                <w:kern w:val="0"/>
                <w:lang w:bidi="ar"/>
              </w:rPr>
              <w:t>3</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3CEAC">
            <w:pPr>
              <w:widowControl/>
              <w:jc w:val="center"/>
              <w:textAlignment w:val="center"/>
              <w:rPr>
                <w:rFonts w:hint="eastAsia" w:cs="宋体"/>
              </w:rPr>
            </w:pPr>
            <w:r>
              <w:rPr>
                <w:rFonts w:hint="eastAsia" w:cs="宋体"/>
                <w:kern w:val="0"/>
                <w:lang w:bidi="ar"/>
              </w:rPr>
              <w:t>11,700.00</w:t>
            </w:r>
          </w:p>
        </w:tc>
      </w:tr>
      <w:tr w14:paraId="2297F1F1">
        <w:tblPrEx>
          <w:tblCellMar>
            <w:top w:w="0" w:type="dxa"/>
            <w:left w:w="108" w:type="dxa"/>
            <w:bottom w:w="0" w:type="dxa"/>
            <w:right w:w="108" w:type="dxa"/>
          </w:tblCellMar>
        </w:tblPrEx>
        <w:trPr>
          <w:trHeight w:val="722"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0D8F6">
            <w:pPr>
              <w:widowControl/>
              <w:jc w:val="center"/>
              <w:textAlignment w:val="center"/>
              <w:rPr>
                <w:rFonts w:hint="eastAsia" w:cs="宋体"/>
              </w:rPr>
            </w:pPr>
            <w:r>
              <w:rPr>
                <w:rFonts w:hint="eastAsia" w:cs="宋体"/>
                <w:kern w:val="0"/>
                <w:lang w:bidi="ar"/>
              </w:rPr>
              <w:t>8</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49B119">
            <w:pPr>
              <w:widowControl/>
              <w:jc w:val="center"/>
              <w:textAlignment w:val="center"/>
              <w:rPr>
                <w:rFonts w:hint="eastAsia" w:cs="宋体"/>
              </w:rPr>
            </w:pPr>
            <w:r>
              <w:rPr>
                <w:rFonts w:hint="eastAsia" w:cs="宋体"/>
                <w:kern w:val="0"/>
                <w:lang w:bidi="ar"/>
              </w:rPr>
              <w:t>投影仪（含120寸幕布）</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9EEF6">
            <w:pPr>
              <w:widowControl/>
              <w:jc w:val="center"/>
              <w:textAlignment w:val="center"/>
              <w:rPr>
                <w:rFonts w:hint="eastAsia" w:cs="宋体"/>
              </w:rPr>
            </w:pPr>
            <w:r>
              <w:rPr>
                <w:rFonts w:hint="eastAsia" w:cs="宋体"/>
                <w:kern w:val="0"/>
                <w:lang w:bidi="ar"/>
              </w:rPr>
              <w:t>14,500.00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FBE4B">
            <w:pPr>
              <w:widowControl/>
              <w:jc w:val="center"/>
              <w:textAlignment w:val="center"/>
              <w:rPr>
                <w:rFonts w:hint="eastAsia" w:cs="宋体"/>
              </w:rPr>
            </w:pPr>
            <w:r>
              <w:rPr>
                <w:rFonts w:hint="eastAsia" w:cs="宋体"/>
                <w:kern w:val="0"/>
                <w:lang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5E500">
            <w:pPr>
              <w:widowControl/>
              <w:jc w:val="center"/>
              <w:textAlignment w:val="center"/>
              <w:rPr>
                <w:rFonts w:hint="eastAsia" w:cs="宋体"/>
              </w:rPr>
            </w:pPr>
            <w:r>
              <w:rPr>
                <w:rFonts w:hint="eastAsia" w:cs="宋体"/>
                <w:kern w:val="0"/>
                <w:lang w:bidi="ar"/>
              </w:rPr>
              <w:t>2</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D13766">
            <w:pPr>
              <w:widowControl/>
              <w:jc w:val="center"/>
              <w:textAlignment w:val="center"/>
              <w:rPr>
                <w:rFonts w:hint="eastAsia" w:cs="宋体"/>
              </w:rPr>
            </w:pPr>
            <w:r>
              <w:rPr>
                <w:rFonts w:hint="eastAsia" w:cs="宋体"/>
                <w:kern w:val="0"/>
                <w:lang w:bidi="ar"/>
              </w:rPr>
              <w:t>29,000.00</w:t>
            </w:r>
          </w:p>
        </w:tc>
      </w:tr>
      <w:tr w14:paraId="73743E18">
        <w:tblPrEx>
          <w:tblCellMar>
            <w:top w:w="0" w:type="dxa"/>
            <w:left w:w="108" w:type="dxa"/>
            <w:bottom w:w="0" w:type="dxa"/>
            <w:right w:w="108" w:type="dxa"/>
          </w:tblCellMar>
        </w:tblPrEx>
        <w:trPr>
          <w:trHeight w:val="450"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976C8C">
            <w:pPr>
              <w:jc w:val="center"/>
              <w:rPr>
                <w:rFonts w:hint="eastAsia" w:cs="宋体"/>
              </w:rPr>
            </w:pPr>
            <w:r>
              <w:rPr>
                <w:rFonts w:hint="eastAsia" w:cs="宋体"/>
              </w:rPr>
              <w:t>9</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48B63">
            <w:pPr>
              <w:jc w:val="center"/>
              <w:rPr>
                <w:rFonts w:hint="eastAsia" w:cs="宋体"/>
              </w:rPr>
            </w:pPr>
            <w:r>
              <w:rPr>
                <w:rFonts w:hint="eastAsia" w:cs="宋体"/>
                <w:kern w:val="0"/>
                <w:lang w:bidi="ar"/>
              </w:rPr>
              <w:t>投影仪（含100寸幕布）</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F4D6B2">
            <w:pPr>
              <w:widowControl/>
              <w:jc w:val="center"/>
              <w:textAlignment w:val="center"/>
              <w:rPr>
                <w:rFonts w:hint="eastAsia" w:cs="宋体"/>
              </w:rPr>
            </w:pPr>
            <w:r>
              <w:rPr>
                <w:rFonts w:hint="eastAsia" w:cs="宋体"/>
                <w:kern w:val="0"/>
                <w:lang w:bidi="ar"/>
              </w:rPr>
              <w:t>6,800.00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FD7AAB">
            <w:pPr>
              <w:widowControl/>
              <w:jc w:val="center"/>
              <w:textAlignment w:val="center"/>
              <w:rPr>
                <w:rFonts w:hint="eastAsia" w:cs="宋体"/>
              </w:rPr>
            </w:pPr>
            <w:r>
              <w:rPr>
                <w:rFonts w:hint="eastAsia" w:cs="宋体"/>
                <w:kern w:val="0"/>
                <w:lang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FF4C92">
            <w:pPr>
              <w:widowControl/>
              <w:jc w:val="center"/>
              <w:textAlignment w:val="center"/>
              <w:rPr>
                <w:rFonts w:hint="eastAsia" w:cs="宋体"/>
              </w:rPr>
            </w:pPr>
            <w:r>
              <w:rPr>
                <w:rFonts w:hint="eastAsia" w:cs="宋体"/>
                <w:kern w:val="0"/>
                <w:lang w:bidi="ar"/>
              </w:rPr>
              <w:t>1</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2B565E">
            <w:pPr>
              <w:widowControl/>
              <w:jc w:val="center"/>
              <w:textAlignment w:val="center"/>
              <w:rPr>
                <w:rFonts w:hint="eastAsia" w:cs="宋体"/>
              </w:rPr>
            </w:pPr>
            <w:r>
              <w:rPr>
                <w:rFonts w:hint="eastAsia" w:cs="宋体"/>
                <w:kern w:val="0"/>
                <w:lang w:bidi="ar"/>
              </w:rPr>
              <w:t>6,800.00</w:t>
            </w:r>
          </w:p>
        </w:tc>
      </w:tr>
      <w:tr w14:paraId="72D4C408">
        <w:tblPrEx>
          <w:tblCellMar>
            <w:top w:w="0" w:type="dxa"/>
            <w:left w:w="108" w:type="dxa"/>
            <w:bottom w:w="0" w:type="dxa"/>
            <w:right w:w="108" w:type="dxa"/>
          </w:tblCellMar>
        </w:tblPrEx>
        <w:trPr>
          <w:trHeight w:val="74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D777E7">
            <w:pPr>
              <w:widowControl/>
              <w:jc w:val="center"/>
              <w:textAlignment w:val="center"/>
              <w:rPr>
                <w:rFonts w:hint="eastAsia" w:cs="宋体"/>
              </w:rPr>
            </w:pPr>
            <w:r>
              <w:rPr>
                <w:rFonts w:hint="eastAsia" w:cs="宋体"/>
                <w:kern w:val="0"/>
                <w:lang w:bidi="ar"/>
              </w:rPr>
              <w:t>10</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8B532">
            <w:pPr>
              <w:widowControl/>
              <w:jc w:val="center"/>
              <w:textAlignment w:val="center"/>
              <w:rPr>
                <w:rFonts w:hint="eastAsia" w:cs="宋体"/>
              </w:rPr>
            </w:pPr>
            <w:r>
              <w:rPr>
                <w:rFonts w:hint="eastAsia" w:cs="宋体"/>
                <w:kern w:val="0"/>
                <w:lang w:bidi="ar"/>
              </w:rPr>
              <w:t>会议平板</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6DE175">
            <w:pPr>
              <w:widowControl/>
              <w:jc w:val="center"/>
              <w:textAlignment w:val="center"/>
              <w:rPr>
                <w:rFonts w:hint="eastAsia" w:cs="宋体"/>
              </w:rPr>
            </w:pPr>
            <w:r>
              <w:rPr>
                <w:rFonts w:hint="eastAsia" w:cs="宋体"/>
                <w:kern w:val="0"/>
                <w:lang w:bidi="ar"/>
              </w:rPr>
              <w:t>24,500.00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496E61">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5CC236">
            <w:pPr>
              <w:widowControl/>
              <w:jc w:val="center"/>
              <w:textAlignment w:val="center"/>
              <w:rPr>
                <w:rFonts w:hint="eastAsia" w:cs="宋体"/>
              </w:rPr>
            </w:pPr>
            <w:r>
              <w:rPr>
                <w:rFonts w:hint="eastAsia" w:cs="宋体"/>
                <w:kern w:val="0"/>
                <w:lang w:bidi="ar"/>
              </w:rPr>
              <w:t>3</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D6CBE9">
            <w:pPr>
              <w:widowControl/>
              <w:jc w:val="center"/>
              <w:textAlignment w:val="center"/>
              <w:rPr>
                <w:rFonts w:hint="eastAsia" w:cs="宋体"/>
              </w:rPr>
            </w:pPr>
            <w:r>
              <w:rPr>
                <w:rFonts w:hint="eastAsia" w:cs="宋体"/>
                <w:kern w:val="0"/>
                <w:lang w:bidi="ar"/>
              </w:rPr>
              <w:t>73,500.00</w:t>
            </w:r>
          </w:p>
        </w:tc>
      </w:tr>
      <w:tr w14:paraId="0C6AB48A">
        <w:tblPrEx>
          <w:tblCellMar>
            <w:top w:w="0" w:type="dxa"/>
            <w:left w:w="108" w:type="dxa"/>
            <w:bottom w:w="0" w:type="dxa"/>
            <w:right w:w="108" w:type="dxa"/>
          </w:tblCellMar>
        </w:tblPrEx>
        <w:trPr>
          <w:trHeight w:val="598"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525EB7">
            <w:pPr>
              <w:widowControl/>
              <w:jc w:val="center"/>
              <w:textAlignment w:val="center"/>
              <w:rPr>
                <w:rFonts w:hint="eastAsia" w:cs="宋体"/>
              </w:rPr>
            </w:pPr>
            <w:r>
              <w:rPr>
                <w:rFonts w:hint="eastAsia" w:cs="宋体"/>
                <w:kern w:val="0"/>
                <w:lang w:bidi="ar"/>
              </w:rPr>
              <w:t>11</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853517">
            <w:pPr>
              <w:widowControl/>
              <w:jc w:val="center"/>
              <w:textAlignment w:val="center"/>
              <w:rPr>
                <w:rFonts w:hint="eastAsia" w:cs="宋体"/>
              </w:rPr>
            </w:pPr>
            <w:r>
              <w:rPr>
                <w:rFonts w:hint="eastAsia" w:cs="宋体"/>
                <w:kern w:val="0"/>
                <w:lang w:bidi="ar"/>
              </w:rPr>
              <w:t>分诊小屏</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C1999D">
            <w:pPr>
              <w:widowControl/>
              <w:jc w:val="center"/>
              <w:textAlignment w:val="center"/>
              <w:rPr>
                <w:rFonts w:hint="eastAsia" w:cs="宋体"/>
              </w:rPr>
            </w:pPr>
            <w:r>
              <w:rPr>
                <w:rFonts w:hint="eastAsia" w:cs="宋体"/>
                <w:kern w:val="0"/>
                <w:lang w:bidi="ar"/>
              </w:rPr>
              <w:t>2,850.00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68F883">
            <w:pPr>
              <w:widowControl/>
              <w:jc w:val="center"/>
              <w:textAlignment w:val="center"/>
              <w:rPr>
                <w:rFonts w:hint="eastAsia" w:cs="宋体"/>
              </w:rPr>
            </w:pPr>
            <w:r>
              <w:rPr>
                <w:rFonts w:hint="eastAsia" w:cs="宋体"/>
                <w:kern w:val="0"/>
                <w:lang w:bidi="ar"/>
              </w:rPr>
              <w:t>台</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769B09">
            <w:pPr>
              <w:widowControl/>
              <w:jc w:val="center"/>
              <w:textAlignment w:val="center"/>
              <w:rPr>
                <w:rFonts w:hint="eastAsia" w:cs="宋体"/>
              </w:rPr>
            </w:pPr>
            <w:r>
              <w:rPr>
                <w:rFonts w:hint="eastAsia" w:cs="宋体"/>
                <w:kern w:val="0"/>
                <w:lang w:bidi="ar"/>
              </w:rPr>
              <w:t>20</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E63251">
            <w:pPr>
              <w:widowControl/>
              <w:jc w:val="center"/>
              <w:textAlignment w:val="center"/>
              <w:rPr>
                <w:rFonts w:hint="eastAsia" w:cs="宋体"/>
              </w:rPr>
            </w:pPr>
            <w:r>
              <w:rPr>
                <w:rFonts w:hint="eastAsia" w:cs="宋体"/>
                <w:kern w:val="0"/>
                <w:lang w:bidi="ar"/>
              </w:rPr>
              <w:t>57,000.00</w:t>
            </w:r>
          </w:p>
        </w:tc>
      </w:tr>
      <w:tr w14:paraId="3282204C">
        <w:tblPrEx>
          <w:tblCellMar>
            <w:top w:w="0" w:type="dxa"/>
            <w:left w:w="108" w:type="dxa"/>
            <w:bottom w:w="0" w:type="dxa"/>
            <w:right w:w="108" w:type="dxa"/>
          </w:tblCellMar>
        </w:tblPrEx>
        <w:trPr>
          <w:trHeight w:val="696" w:hRule="atLeast"/>
        </w:trPr>
        <w:tc>
          <w:tcPr>
            <w:tcW w:w="72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A448A0">
            <w:pPr>
              <w:widowControl/>
              <w:jc w:val="center"/>
              <w:textAlignment w:val="center"/>
              <w:rPr>
                <w:rFonts w:hint="eastAsia" w:cs="宋体"/>
              </w:rPr>
            </w:pPr>
            <w:r>
              <w:rPr>
                <w:rFonts w:hint="eastAsia" w:cs="宋体"/>
                <w:kern w:val="0"/>
                <w:lang w:bidi="ar"/>
              </w:rPr>
              <w:t>12</w:t>
            </w:r>
          </w:p>
        </w:tc>
        <w:tc>
          <w:tcPr>
            <w:tcW w:w="212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09A427">
            <w:pPr>
              <w:widowControl/>
              <w:jc w:val="center"/>
              <w:textAlignment w:val="center"/>
              <w:rPr>
                <w:rFonts w:hint="eastAsia" w:cs="宋体"/>
              </w:rPr>
            </w:pPr>
            <w:r>
              <w:rPr>
                <w:rFonts w:hint="eastAsia" w:cs="宋体"/>
                <w:kern w:val="0"/>
                <w:lang w:bidi="ar"/>
              </w:rPr>
              <w:t>全彩LED显示屏</w:t>
            </w:r>
          </w:p>
        </w:tc>
        <w:tc>
          <w:tcPr>
            <w:tcW w:w="192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C1567EF">
            <w:pPr>
              <w:widowControl/>
              <w:jc w:val="center"/>
              <w:textAlignment w:val="center"/>
              <w:rPr>
                <w:rFonts w:hint="eastAsia" w:cs="宋体"/>
              </w:rPr>
            </w:pPr>
            <w:r>
              <w:rPr>
                <w:rFonts w:hint="eastAsia" w:cs="宋体"/>
              </w:rPr>
              <w:t>157100</w:t>
            </w:r>
            <w:r>
              <w:rPr>
                <w:rFonts w:hint="eastAsia" w:cs="宋体"/>
                <w:kern w:val="0"/>
                <w:lang w:bidi="ar"/>
              </w:rPr>
              <w:t>.00</w:t>
            </w:r>
          </w:p>
        </w:tc>
        <w:tc>
          <w:tcPr>
            <w:tcW w:w="145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CADE9">
            <w:pPr>
              <w:widowControl/>
              <w:jc w:val="center"/>
              <w:textAlignment w:val="center"/>
              <w:rPr>
                <w:rFonts w:hint="eastAsia" w:cs="宋体"/>
              </w:rPr>
            </w:pPr>
            <w:r>
              <w:rPr>
                <w:rFonts w:hint="eastAsia" w:cs="宋体"/>
                <w:kern w:val="0"/>
                <w:lang w:bidi="ar"/>
              </w:rPr>
              <w:t>套</w:t>
            </w:r>
          </w:p>
        </w:tc>
        <w:tc>
          <w:tcPr>
            <w:tcW w:w="105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5664A4">
            <w:pPr>
              <w:widowControl/>
              <w:jc w:val="center"/>
              <w:textAlignment w:val="center"/>
              <w:rPr>
                <w:rFonts w:hint="eastAsia" w:cs="宋体"/>
              </w:rPr>
            </w:pPr>
            <w:r>
              <w:rPr>
                <w:rFonts w:hint="eastAsia" w:cs="宋体"/>
                <w:kern w:val="0"/>
                <w:lang w:bidi="ar"/>
              </w:rPr>
              <w:t>1</w:t>
            </w:r>
          </w:p>
        </w:tc>
        <w:tc>
          <w:tcPr>
            <w:tcW w:w="184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842716">
            <w:pPr>
              <w:widowControl/>
              <w:jc w:val="center"/>
              <w:textAlignment w:val="center"/>
              <w:rPr>
                <w:rFonts w:hint="eastAsia" w:cs="宋体"/>
              </w:rPr>
            </w:pPr>
            <w:r>
              <w:rPr>
                <w:rFonts w:hint="eastAsia" w:cs="宋体"/>
                <w:kern w:val="0"/>
                <w:lang w:bidi="ar"/>
              </w:rPr>
              <w:t>157100.00</w:t>
            </w:r>
          </w:p>
        </w:tc>
      </w:tr>
      <w:tr w14:paraId="3877618D">
        <w:tblPrEx>
          <w:tblCellMar>
            <w:top w:w="0" w:type="dxa"/>
            <w:left w:w="108" w:type="dxa"/>
            <w:bottom w:w="0" w:type="dxa"/>
            <w:right w:w="108" w:type="dxa"/>
          </w:tblCellMar>
        </w:tblPrEx>
        <w:trPr>
          <w:trHeight w:val="680" w:hRule="atLeast"/>
        </w:trPr>
        <w:tc>
          <w:tcPr>
            <w:tcW w:w="7277" w:type="dxa"/>
            <w:gridSpan w:val="5"/>
            <w:tcBorders>
              <w:top w:val="single" w:color="000000" w:sz="4" w:space="0"/>
              <w:left w:val="single" w:color="000000" w:sz="4" w:space="0"/>
              <w:bottom w:val="single" w:color="000000" w:sz="4" w:space="0"/>
              <w:right w:val="single" w:color="000000" w:sz="4" w:space="0"/>
            </w:tcBorders>
            <w:shd w:val="clear" w:color="auto" w:fill="auto"/>
            <w:vAlign w:val="center"/>
          </w:tcPr>
          <w:p w14:paraId="70F2E2D2">
            <w:pPr>
              <w:widowControl/>
              <w:jc w:val="center"/>
              <w:textAlignment w:val="center"/>
              <w:rPr>
                <w:rFonts w:hint="eastAsia" w:cs="宋体"/>
                <w:b/>
                <w:bCs/>
              </w:rPr>
            </w:pPr>
            <w:r>
              <w:rPr>
                <w:rFonts w:hint="eastAsia" w:cs="宋体"/>
                <w:b/>
                <w:bCs/>
                <w:kern w:val="0"/>
                <w:lang w:bidi="ar"/>
              </w:rPr>
              <w:t>总计</w:t>
            </w:r>
          </w:p>
        </w:tc>
        <w:tc>
          <w:tcPr>
            <w:tcW w:w="1848" w:type="dxa"/>
            <w:tcBorders>
              <w:top w:val="nil"/>
              <w:left w:val="single" w:color="000000" w:sz="4" w:space="0"/>
              <w:bottom w:val="single" w:color="000000" w:sz="4" w:space="0"/>
              <w:right w:val="single" w:color="000000" w:sz="4" w:space="0"/>
            </w:tcBorders>
            <w:shd w:val="clear" w:color="auto" w:fill="auto"/>
            <w:vAlign w:val="center"/>
          </w:tcPr>
          <w:p w14:paraId="199B8872">
            <w:pPr>
              <w:widowControl/>
              <w:jc w:val="center"/>
              <w:textAlignment w:val="center"/>
              <w:rPr>
                <w:rFonts w:hint="eastAsia" w:cs="宋体"/>
              </w:rPr>
            </w:pPr>
            <w:r>
              <w:rPr>
                <w:rFonts w:hint="eastAsia" w:cs="宋体"/>
                <w:kern w:val="0"/>
                <w:lang w:bidi="ar"/>
              </w:rPr>
              <w:t>725310.00</w:t>
            </w:r>
          </w:p>
        </w:tc>
      </w:tr>
    </w:tbl>
    <w:p w14:paraId="47AC98E1">
      <w:pPr>
        <w:pStyle w:val="38"/>
        <w:ind w:firstLine="0" w:firstLineChars="0"/>
        <w:rPr>
          <w:rFonts w:hint="eastAsia"/>
        </w:rPr>
      </w:pPr>
    </w:p>
    <w:p w14:paraId="309D7F0E">
      <w:pPr>
        <w:widowControl/>
        <w:spacing w:line="240" w:lineRule="auto"/>
        <w:rPr>
          <w:rFonts w:ascii="Cambria" w:hAnsi="Cambria"/>
          <w:b/>
          <w:bCs/>
          <w:kern w:val="0"/>
          <w:sz w:val="28"/>
          <w:szCs w:val="32"/>
        </w:rPr>
      </w:pPr>
      <w:r>
        <w:br w:type="page"/>
      </w:r>
    </w:p>
    <w:p w14:paraId="00F87715">
      <w:pPr>
        <w:pStyle w:val="3"/>
        <w:numPr>
          <w:ilvl w:val="0"/>
          <w:numId w:val="3"/>
        </w:numPr>
      </w:pPr>
      <w:r>
        <w:rPr>
          <w:rFonts w:hint="eastAsia"/>
        </w:rPr>
        <w:t>采购内容及技术要求</w:t>
      </w:r>
    </w:p>
    <w:tbl>
      <w:tblPr>
        <w:tblStyle w:val="28"/>
        <w:tblW w:w="9067" w:type="dxa"/>
        <w:tblInd w:w="113"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46"/>
        <w:gridCol w:w="992"/>
        <w:gridCol w:w="851"/>
        <w:gridCol w:w="850"/>
        <w:gridCol w:w="5528"/>
      </w:tblGrid>
      <w:tr w14:paraId="3155F00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blHeader/>
        </w:trPr>
        <w:tc>
          <w:tcPr>
            <w:tcW w:w="846" w:type="dxa"/>
            <w:tcBorders>
              <w:bottom w:val="single" w:color="000000" w:sz="4" w:space="0"/>
            </w:tcBorders>
            <w:shd w:val="clear" w:color="auto" w:fill="D8D8D8" w:themeFill="background1" w:themeFillShade="D9"/>
            <w:vAlign w:val="center"/>
          </w:tcPr>
          <w:p w14:paraId="7F17FAAA">
            <w:pPr>
              <w:widowControl/>
              <w:spacing w:line="240" w:lineRule="auto"/>
              <w:jc w:val="center"/>
              <w:rPr>
                <w:rFonts w:hint="eastAsia" w:cs="宋体"/>
                <w:b/>
                <w:bCs/>
                <w:kern w:val="0"/>
              </w:rPr>
            </w:pPr>
            <w:r>
              <w:rPr>
                <w:rFonts w:hint="eastAsia" w:cs="宋体"/>
                <w:b/>
                <w:bCs/>
                <w:kern w:val="0"/>
              </w:rPr>
              <w:t>序号</w:t>
            </w:r>
          </w:p>
        </w:tc>
        <w:tc>
          <w:tcPr>
            <w:tcW w:w="992" w:type="dxa"/>
            <w:tcBorders>
              <w:bottom w:val="single" w:color="000000" w:sz="4" w:space="0"/>
            </w:tcBorders>
            <w:shd w:val="clear" w:color="auto" w:fill="D8D8D8" w:themeFill="background1" w:themeFillShade="D9"/>
            <w:vAlign w:val="center"/>
          </w:tcPr>
          <w:p w14:paraId="6D998B30">
            <w:pPr>
              <w:widowControl/>
              <w:spacing w:line="240" w:lineRule="auto"/>
              <w:jc w:val="center"/>
              <w:rPr>
                <w:rFonts w:hint="eastAsia" w:cs="宋体"/>
                <w:b/>
                <w:bCs/>
                <w:kern w:val="0"/>
              </w:rPr>
            </w:pPr>
            <w:r>
              <w:rPr>
                <w:rFonts w:hint="eastAsia" w:cs="宋体"/>
                <w:b/>
                <w:bCs/>
                <w:kern w:val="0"/>
              </w:rPr>
              <w:t>设备</w:t>
            </w:r>
          </w:p>
          <w:p w14:paraId="3C26C7A0">
            <w:pPr>
              <w:widowControl/>
              <w:spacing w:line="240" w:lineRule="auto"/>
              <w:jc w:val="center"/>
              <w:rPr>
                <w:rFonts w:hint="eastAsia" w:cs="宋体"/>
                <w:b/>
                <w:bCs/>
                <w:kern w:val="0"/>
              </w:rPr>
            </w:pPr>
            <w:r>
              <w:rPr>
                <w:rFonts w:hint="eastAsia" w:cs="宋体"/>
                <w:b/>
                <w:bCs/>
                <w:kern w:val="0"/>
              </w:rPr>
              <w:t>名称</w:t>
            </w:r>
          </w:p>
        </w:tc>
        <w:tc>
          <w:tcPr>
            <w:tcW w:w="851" w:type="dxa"/>
            <w:tcBorders>
              <w:bottom w:val="single" w:color="000000" w:sz="4" w:space="0"/>
            </w:tcBorders>
            <w:shd w:val="clear" w:color="auto" w:fill="D8D8D8" w:themeFill="background1" w:themeFillShade="D9"/>
            <w:vAlign w:val="center"/>
          </w:tcPr>
          <w:p w14:paraId="1B9A816B">
            <w:pPr>
              <w:widowControl/>
              <w:spacing w:line="240" w:lineRule="auto"/>
              <w:jc w:val="center"/>
              <w:rPr>
                <w:rFonts w:hint="eastAsia" w:cs="宋体"/>
                <w:b/>
                <w:bCs/>
                <w:kern w:val="0"/>
              </w:rPr>
            </w:pPr>
            <w:r>
              <w:rPr>
                <w:rFonts w:hint="eastAsia" w:cs="宋体"/>
                <w:b/>
                <w:bCs/>
                <w:kern w:val="0"/>
              </w:rPr>
              <w:t>单位</w:t>
            </w:r>
          </w:p>
        </w:tc>
        <w:tc>
          <w:tcPr>
            <w:tcW w:w="850" w:type="dxa"/>
            <w:tcBorders>
              <w:bottom w:val="single" w:color="000000" w:sz="4" w:space="0"/>
            </w:tcBorders>
            <w:shd w:val="clear" w:color="auto" w:fill="D8D8D8" w:themeFill="background1" w:themeFillShade="D9"/>
            <w:vAlign w:val="center"/>
          </w:tcPr>
          <w:p w14:paraId="67F677AE">
            <w:pPr>
              <w:widowControl/>
              <w:spacing w:line="240" w:lineRule="auto"/>
              <w:jc w:val="center"/>
              <w:rPr>
                <w:rFonts w:hint="eastAsia" w:cs="宋体"/>
                <w:b/>
                <w:bCs/>
                <w:kern w:val="0"/>
              </w:rPr>
            </w:pPr>
            <w:r>
              <w:rPr>
                <w:rFonts w:hint="eastAsia" w:cs="宋体"/>
                <w:b/>
                <w:bCs/>
                <w:kern w:val="0"/>
              </w:rPr>
              <w:t>数量</w:t>
            </w:r>
          </w:p>
        </w:tc>
        <w:tc>
          <w:tcPr>
            <w:tcW w:w="5528" w:type="dxa"/>
            <w:tcBorders>
              <w:bottom w:val="single" w:color="000000" w:sz="4" w:space="0"/>
            </w:tcBorders>
            <w:shd w:val="clear" w:color="auto" w:fill="D8D8D8" w:themeFill="background1" w:themeFillShade="D9"/>
            <w:vAlign w:val="center"/>
          </w:tcPr>
          <w:p w14:paraId="777B671B">
            <w:pPr>
              <w:widowControl/>
              <w:spacing w:line="240" w:lineRule="auto"/>
              <w:jc w:val="center"/>
              <w:rPr>
                <w:rFonts w:hint="eastAsia" w:cs="宋体"/>
                <w:b/>
                <w:bCs/>
                <w:kern w:val="0"/>
              </w:rPr>
            </w:pPr>
            <w:r>
              <w:rPr>
                <w:rFonts w:hint="eastAsia" w:cs="宋体"/>
                <w:b/>
                <w:bCs/>
                <w:kern w:val="0"/>
              </w:rPr>
              <w:t>技术参数</w:t>
            </w:r>
          </w:p>
        </w:tc>
      </w:tr>
      <w:tr w14:paraId="34F2F95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08B5E53F">
            <w:pPr>
              <w:widowControl/>
              <w:spacing w:line="240" w:lineRule="auto"/>
              <w:jc w:val="center"/>
              <w:rPr>
                <w:rFonts w:hint="eastAsia" w:cs="宋体"/>
                <w:kern w:val="0"/>
              </w:rPr>
            </w:pPr>
            <w:r>
              <w:rPr>
                <w:rFonts w:hint="eastAsia" w:cs="宋体"/>
                <w:kern w:val="0"/>
              </w:rPr>
              <w:t>1</w:t>
            </w:r>
          </w:p>
        </w:tc>
        <w:tc>
          <w:tcPr>
            <w:tcW w:w="992" w:type="dxa"/>
            <w:tcBorders>
              <w:bottom w:val="single" w:color="000000" w:sz="4" w:space="0"/>
            </w:tcBorders>
            <w:shd w:val="clear" w:color="auto" w:fill="auto"/>
            <w:vAlign w:val="center"/>
          </w:tcPr>
          <w:p w14:paraId="4C37C4C1">
            <w:pPr>
              <w:widowControl/>
              <w:spacing w:line="240" w:lineRule="auto"/>
              <w:jc w:val="center"/>
              <w:rPr>
                <w:rFonts w:hint="eastAsia" w:cs="宋体"/>
                <w:kern w:val="0"/>
              </w:rPr>
            </w:pPr>
            <w:r>
              <w:rPr>
                <w:rFonts w:hint="eastAsia" w:cs="宋体"/>
                <w:kern w:val="0"/>
                <w:lang w:bidi="ar"/>
              </w:rPr>
              <w:t>台式计算机</w:t>
            </w:r>
          </w:p>
        </w:tc>
        <w:tc>
          <w:tcPr>
            <w:tcW w:w="851" w:type="dxa"/>
            <w:tcBorders>
              <w:bottom w:val="single" w:color="000000" w:sz="4" w:space="0"/>
            </w:tcBorders>
            <w:vAlign w:val="center"/>
          </w:tcPr>
          <w:p w14:paraId="7BD7545F">
            <w:pPr>
              <w:rPr>
                <w:rFonts w:hint="eastAsia"/>
              </w:rPr>
            </w:pPr>
            <w:r>
              <w:rPr>
                <w:rFonts w:hint="eastAsia"/>
              </w:rPr>
              <w:t>台</w:t>
            </w:r>
          </w:p>
        </w:tc>
        <w:tc>
          <w:tcPr>
            <w:tcW w:w="850" w:type="dxa"/>
            <w:tcBorders>
              <w:bottom w:val="single" w:color="000000" w:sz="4" w:space="0"/>
            </w:tcBorders>
            <w:vAlign w:val="center"/>
          </w:tcPr>
          <w:p w14:paraId="0D43AD6D">
            <w:pPr>
              <w:rPr>
                <w:rFonts w:hint="eastAsia"/>
              </w:rPr>
            </w:pPr>
            <w:r>
              <w:rPr>
                <w:rFonts w:hint="eastAsia"/>
              </w:rPr>
              <w:t>52</w:t>
            </w:r>
          </w:p>
        </w:tc>
        <w:tc>
          <w:tcPr>
            <w:tcW w:w="5528" w:type="dxa"/>
            <w:tcBorders>
              <w:bottom w:val="single" w:color="000000" w:sz="4" w:space="0"/>
            </w:tcBorders>
            <w:shd w:val="clear" w:color="auto" w:fill="auto"/>
            <w:vAlign w:val="center"/>
          </w:tcPr>
          <w:p w14:paraId="1B0FB925">
            <w:pPr>
              <w:numPr>
                <w:ilvl w:val="0"/>
                <w:numId w:val="4"/>
              </w:numPr>
              <w:spacing w:line="240" w:lineRule="auto"/>
              <w:jc w:val="both"/>
              <w:rPr>
                <w:rFonts w:hint="eastAsia" w:ascii="仿宋" w:hAnsi="仿宋" w:eastAsia="仿宋" w:cs="仿宋"/>
                <w:b/>
                <w:bCs/>
                <w:kern w:val="44"/>
              </w:rPr>
            </w:pPr>
            <w:r>
              <w:rPr>
                <w:rFonts w:hint="eastAsia" w:cs="宋体"/>
                <w:kern w:val="0"/>
                <w:lang w:bidi="ar"/>
              </w:rPr>
              <w:t>▲CPU：I5 13代桌面级及以上</w:t>
            </w:r>
          </w:p>
          <w:p w14:paraId="788DE590">
            <w:pPr>
              <w:numPr>
                <w:ilvl w:val="0"/>
                <w:numId w:val="4"/>
              </w:numPr>
              <w:spacing w:line="240" w:lineRule="auto"/>
              <w:jc w:val="both"/>
              <w:rPr>
                <w:rFonts w:hint="eastAsia" w:ascii="仿宋" w:hAnsi="仿宋" w:eastAsia="仿宋" w:cs="仿宋"/>
                <w:b/>
                <w:bCs/>
                <w:kern w:val="44"/>
                <w:lang w:eastAsia="en-US"/>
              </w:rPr>
            </w:pPr>
            <w:r>
              <w:rPr>
                <w:rFonts w:hint="eastAsia" w:cs="宋体"/>
                <w:kern w:val="0"/>
                <w:lang w:bidi="ar"/>
              </w:rPr>
              <w:t>主板芯片：Intel Q670及以上芯片组</w:t>
            </w:r>
          </w:p>
          <w:p w14:paraId="04B7C7FA">
            <w:pPr>
              <w:numPr>
                <w:ilvl w:val="0"/>
                <w:numId w:val="4"/>
              </w:numPr>
              <w:spacing w:line="240" w:lineRule="auto"/>
              <w:jc w:val="both"/>
              <w:rPr>
                <w:rFonts w:hint="eastAsia" w:ascii="仿宋" w:hAnsi="仿宋" w:eastAsia="仿宋" w:cs="仿宋"/>
                <w:b/>
                <w:bCs/>
                <w:kern w:val="44"/>
              </w:rPr>
            </w:pPr>
            <w:r>
              <w:rPr>
                <w:rFonts w:hint="eastAsia" w:cs="宋体"/>
                <w:kern w:val="0"/>
                <w:lang w:bidi="ar"/>
              </w:rPr>
              <w:t>▲内存：≥16G DDR5 5600MHz 内存，提供至少2个内存槽位</w:t>
            </w:r>
          </w:p>
          <w:p w14:paraId="0A792A2D">
            <w:pPr>
              <w:numPr>
                <w:ilvl w:val="0"/>
                <w:numId w:val="4"/>
              </w:numPr>
              <w:spacing w:line="240" w:lineRule="auto"/>
              <w:jc w:val="both"/>
              <w:rPr>
                <w:rFonts w:hint="eastAsia" w:ascii="仿宋" w:hAnsi="仿宋" w:eastAsia="仿宋" w:cs="仿宋"/>
                <w:b/>
                <w:bCs/>
                <w:kern w:val="44"/>
                <w:lang w:eastAsia="en-US"/>
              </w:rPr>
            </w:pPr>
            <w:r>
              <w:rPr>
                <w:rFonts w:hint="eastAsia" w:cs="宋体"/>
                <w:kern w:val="0"/>
                <w:lang w:bidi="ar"/>
              </w:rPr>
              <w:t>▲硬盘：≥256GB M.2 NVME SSD、≥1TB HDD 机械硬盘</w:t>
            </w:r>
            <w:r>
              <w:rPr>
                <w:rFonts w:hint="eastAsia"/>
              </w:rPr>
              <w:t>（7200转）</w:t>
            </w:r>
          </w:p>
          <w:p w14:paraId="6DEB090B">
            <w:pPr>
              <w:numPr>
                <w:ilvl w:val="0"/>
                <w:numId w:val="4"/>
              </w:numPr>
              <w:spacing w:line="240" w:lineRule="auto"/>
              <w:jc w:val="both"/>
              <w:rPr>
                <w:rFonts w:hint="eastAsia" w:ascii="仿宋" w:hAnsi="仿宋" w:eastAsia="仿宋" w:cs="仿宋"/>
                <w:b/>
                <w:bCs/>
                <w:kern w:val="44"/>
                <w:lang w:eastAsia="en-US"/>
              </w:rPr>
            </w:pPr>
            <w:r>
              <w:rPr>
                <w:rFonts w:hint="eastAsia" w:cs="宋体"/>
                <w:kern w:val="0"/>
                <w:lang w:bidi="ar"/>
              </w:rPr>
              <w:t>▲网卡：集成10/100/1000M以太网卡</w:t>
            </w:r>
          </w:p>
          <w:p w14:paraId="21092EA1">
            <w:pPr>
              <w:numPr>
                <w:ilvl w:val="0"/>
                <w:numId w:val="4"/>
              </w:numPr>
              <w:spacing w:line="240" w:lineRule="auto"/>
              <w:jc w:val="both"/>
              <w:rPr>
                <w:rFonts w:hint="eastAsia" w:ascii="仿宋" w:hAnsi="仿宋" w:eastAsia="仿宋" w:cs="仿宋"/>
                <w:b/>
                <w:bCs/>
                <w:kern w:val="44"/>
              </w:rPr>
            </w:pPr>
            <w:r>
              <w:rPr>
                <w:rFonts w:hint="eastAsia" w:cs="宋体"/>
                <w:kern w:val="0"/>
                <w:lang w:bidi="ar"/>
              </w:rPr>
              <w:t>声卡：集成声卡，配置2.1声道，提供至少5个音频接口，其中前置包含但不限于1个耳机/麦克二合一接口、1个麦克风接口；后置包含但不限于1个音频输入接口，1个音频输出接口，1个麦克风输入接口</w:t>
            </w:r>
          </w:p>
          <w:p w14:paraId="7AB0E8FA">
            <w:pPr>
              <w:numPr>
                <w:ilvl w:val="0"/>
                <w:numId w:val="4"/>
              </w:numPr>
              <w:spacing w:line="240" w:lineRule="auto"/>
              <w:jc w:val="both"/>
              <w:rPr>
                <w:rFonts w:hint="eastAsia" w:ascii="仿宋" w:hAnsi="仿宋" w:eastAsia="仿宋" w:cs="仿宋"/>
                <w:b/>
                <w:bCs/>
                <w:kern w:val="44"/>
              </w:rPr>
            </w:pPr>
            <w:r>
              <w:rPr>
                <w:rFonts w:hint="eastAsia" w:cs="宋体"/>
                <w:kern w:val="0"/>
                <w:lang w:bidi="ar"/>
              </w:rPr>
              <w:t>扩展槽：≥1个PCI-E*16</w:t>
            </w:r>
          </w:p>
          <w:p w14:paraId="068AB152">
            <w:pPr>
              <w:numPr>
                <w:ilvl w:val="0"/>
                <w:numId w:val="4"/>
              </w:numPr>
              <w:spacing w:line="240" w:lineRule="auto"/>
              <w:jc w:val="both"/>
              <w:rPr>
                <w:rFonts w:hint="eastAsia" w:ascii="仿宋" w:hAnsi="仿宋" w:eastAsia="仿宋" w:cs="仿宋"/>
                <w:b/>
                <w:bCs/>
                <w:kern w:val="44"/>
              </w:rPr>
            </w:pPr>
            <w:r>
              <w:rPr>
                <w:rFonts w:hint="eastAsia" w:cs="宋体"/>
                <w:kern w:val="0"/>
                <w:lang w:bidi="ar"/>
              </w:rPr>
              <w:t>▲显示器：≥23.8英寸显示器，分辨率：≥1920*1080，显示器具备HDMI和VGA两种及以上接口</w:t>
            </w:r>
          </w:p>
          <w:p w14:paraId="53216C80">
            <w:pPr>
              <w:numPr>
                <w:ilvl w:val="0"/>
                <w:numId w:val="4"/>
              </w:numPr>
              <w:spacing w:line="240" w:lineRule="auto"/>
              <w:jc w:val="both"/>
              <w:rPr>
                <w:rFonts w:hint="eastAsia" w:ascii="仿宋" w:hAnsi="仿宋" w:eastAsia="仿宋" w:cs="仿宋"/>
                <w:b/>
                <w:bCs/>
                <w:kern w:val="44"/>
              </w:rPr>
            </w:pPr>
            <w:r>
              <w:rPr>
                <w:rFonts w:hint="eastAsia" w:cs="宋体"/>
                <w:kern w:val="0"/>
                <w:lang w:bidi="ar"/>
              </w:rPr>
              <w:t>原厂防水键盘、抗菌鼠标；</w:t>
            </w:r>
          </w:p>
          <w:p w14:paraId="08B1A8D2">
            <w:pPr>
              <w:numPr>
                <w:ilvl w:val="0"/>
                <w:numId w:val="4"/>
              </w:numPr>
              <w:spacing w:line="240" w:lineRule="auto"/>
              <w:jc w:val="both"/>
              <w:rPr>
                <w:rFonts w:hint="eastAsia" w:ascii="仿宋" w:hAnsi="仿宋" w:eastAsia="仿宋" w:cs="仿宋"/>
                <w:b/>
                <w:bCs/>
                <w:kern w:val="44"/>
                <w:lang w:eastAsia="en-US"/>
              </w:rPr>
            </w:pPr>
            <w:r>
              <w:rPr>
                <w:rFonts w:hint="eastAsia" w:cs="宋体"/>
                <w:kern w:val="0"/>
                <w:lang w:bidi="ar"/>
              </w:rPr>
              <w:t>▲接口：≥9个USB接口(其中至少2个USB 3.2G2接口、2个USB 3.2G1接口、1个USB3.2G1 type C接口 )、≥2个视频输出接口；</w:t>
            </w:r>
          </w:p>
          <w:p w14:paraId="093065C8">
            <w:pPr>
              <w:numPr>
                <w:ilvl w:val="0"/>
                <w:numId w:val="4"/>
              </w:numPr>
              <w:spacing w:line="240" w:lineRule="auto"/>
              <w:jc w:val="both"/>
              <w:rPr>
                <w:rFonts w:hint="eastAsia" w:ascii="仿宋" w:hAnsi="仿宋" w:eastAsia="仿宋" w:cs="仿宋"/>
                <w:b/>
                <w:bCs/>
                <w:kern w:val="44"/>
                <w:lang w:eastAsia="en-US"/>
              </w:rPr>
            </w:pPr>
            <w:r>
              <w:rPr>
                <w:rFonts w:hint="eastAsia" w:cs="宋体"/>
                <w:kern w:val="0"/>
                <w:lang w:bidi="ar"/>
              </w:rPr>
              <w:t>电源：≥180W</w:t>
            </w:r>
          </w:p>
          <w:p w14:paraId="3A109C9A">
            <w:pPr>
              <w:numPr>
                <w:ilvl w:val="0"/>
                <w:numId w:val="4"/>
              </w:numPr>
              <w:spacing w:line="240" w:lineRule="auto"/>
              <w:jc w:val="both"/>
              <w:rPr>
                <w:rFonts w:hint="eastAsia" w:ascii="仿宋" w:hAnsi="仿宋" w:eastAsia="仿宋" w:cs="仿宋"/>
                <w:b/>
                <w:bCs/>
                <w:kern w:val="44"/>
              </w:rPr>
            </w:pPr>
            <w:r>
              <w:rPr>
                <w:rFonts w:hint="eastAsia" w:cs="宋体"/>
                <w:kern w:val="0"/>
                <w:lang w:bidi="ar"/>
              </w:rPr>
              <w:t>操作系统：预装Windows 10及以上正版操作系统</w:t>
            </w:r>
          </w:p>
          <w:p w14:paraId="5168ED2B">
            <w:pPr>
              <w:numPr>
                <w:ilvl w:val="0"/>
                <w:numId w:val="4"/>
              </w:numPr>
              <w:spacing w:line="240" w:lineRule="auto"/>
              <w:jc w:val="both"/>
              <w:rPr>
                <w:rFonts w:hint="eastAsia" w:ascii="仿宋" w:hAnsi="仿宋" w:eastAsia="仿宋" w:cs="仿宋"/>
                <w:b/>
                <w:bCs/>
                <w:kern w:val="44"/>
              </w:rPr>
            </w:pPr>
            <w:r>
              <w:rPr>
                <w:rFonts w:hint="eastAsia" w:cs="宋体"/>
                <w:kern w:val="0"/>
                <w:lang w:bidi="ar"/>
              </w:rPr>
              <w:t>▲安全特性：BIOS底层支持USB智能屏蔽技术，仅识别USB键盘、鼠标，无法识别USB读取设备，有效防止数据泄露（提供加盖制造厂商公章的产品功能截图）</w:t>
            </w:r>
          </w:p>
          <w:p w14:paraId="4E0D270B">
            <w:pPr>
              <w:numPr>
                <w:ilvl w:val="0"/>
                <w:numId w:val="4"/>
              </w:numPr>
              <w:spacing w:line="240" w:lineRule="auto"/>
              <w:jc w:val="both"/>
              <w:rPr>
                <w:rFonts w:hint="eastAsia" w:ascii="仿宋" w:hAnsi="仿宋" w:eastAsia="仿宋" w:cs="仿宋"/>
                <w:b/>
                <w:bCs/>
                <w:kern w:val="44"/>
              </w:rPr>
            </w:pPr>
            <w:r>
              <w:rPr>
                <w:rFonts w:hint="eastAsia" w:cs="宋体"/>
                <w:kern w:val="0"/>
                <w:lang w:bidi="ar"/>
              </w:rPr>
              <w:t>▲服务：制造厂商承诺整机主要部件提供3年的保修及上门服务。为保证设备的可靠性服务，要求提供加盖制造厂商公章的针对本项目的技术参数确认函和售后服务承诺函。</w:t>
            </w:r>
          </w:p>
        </w:tc>
      </w:tr>
      <w:tr w14:paraId="01E27E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1C3EF2D1">
            <w:pPr>
              <w:widowControl/>
              <w:spacing w:line="240" w:lineRule="auto"/>
              <w:jc w:val="center"/>
              <w:rPr>
                <w:rFonts w:hint="eastAsia" w:cs="宋体"/>
                <w:kern w:val="0"/>
              </w:rPr>
            </w:pPr>
            <w:r>
              <w:rPr>
                <w:rFonts w:hint="eastAsia" w:cs="宋体"/>
                <w:kern w:val="0"/>
              </w:rPr>
              <w:t>2</w:t>
            </w:r>
          </w:p>
        </w:tc>
        <w:tc>
          <w:tcPr>
            <w:tcW w:w="992" w:type="dxa"/>
            <w:tcBorders>
              <w:bottom w:val="single" w:color="000000" w:sz="4" w:space="0"/>
            </w:tcBorders>
            <w:shd w:val="clear" w:color="auto" w:fill="auto"/>
            <w:vAlign w:val="center"/>
          </w:tcPr>
          <w:p w14:paraId="61B4E20D">
            <w:pPr>
              <w:widowControl/>
              <w:spacing w:line="240" w:lineRule="auto"/>
              <w:jc w:val="center"/>
              <w:rPr>
                <w:rFonts w:hint="eastAsia" w:cs="宋体"/>
                <w:kern w:val="0"/>
              </w:rPr>
            </w:pPr>
            <w:r>
              <w:rPr>
                <w:rFonts w:hint="eastAsia" w:cs="宋体"/>
                <w:kern w:val="0"/>
                <w:lang w:bidi="ar"/>
              </w:rPr>
              <w:t>笔记本电脑</w:t>
            </w:r>
          </w:p>
        </w:tc>
        <w:tc>
          <w:tcPr>
            <w:tcW w:w="851" w:type="dxa"/>
            <w:tcBorders>
              <w:bottom w:val="single" w:color="000000" w:sz="4" w:space="0"/>
            </w:tcBorders>
            <w:vAlign w:val="center"/>
          </w:tcPr>
          <w:p w14:paraId="6368CA88">
            <w:pPr>
              <w:rPr>
                <w:rFonts w:hint="eastAsia"/>
              </w:rPr>
            </w:pPr>
            <w:r>
              <w:rPr>
                <w:rFonts w:hint="eastAsia"/>
              </w:rPr>
              <w:t>台</w:t>
            </w:r>
          </w:p>
        </w:tc>
        <w:tc>
          <w:tcPr>
            <w:tcW w:w="850" w:type="dxa"/>
            <w:tcBorders>
              <w:bottom w:val="single" w:color="000000" w:sz="4" w:space="0"/>
            </w:tcBorders>
            <w:vAlign w:val="center"/>
          </w:tcPr>
          <w:p w14:paraId="121A53F2">
            <w:pPr>
              <w:rPr>
                <w:rFonts w:hint="eastAsia"/>
              </w:rPr>
            </w:pPr>
            <w:r>
              <w:rPr>
                <w:rFonts w:hint="eastAsia"/>
              </w:rPr>
              <w:t>6</w:t>
            </w:r>
          </w:p>
        </w:tc>
        <w:tc>
          <w:tcPr>
            <w:tcW w:w="5528" w:type="dxa"/>
            <w:tcBorders>
              <w:bottom w:val="single" w:color="000000" w:sz="4" w:space="0"/>
            </w:tcBorders>
            <w:shd w:val="clear" w:color="auto" w:fill="auto"/>
            <w:vAlign w:val="center"/>
          </w:tcPr>
          <w:p w14:paraId="2A28BD48">
            <w:pPr>
              <w:numPr>
                <w:ilvl w:val="0"/>
                <w:numId w:val="5"/>
              </w:numPr>
              <w:spacing w:line="240" w:lineRule="auto"/>
              <w:jc w:val="both"/>
              <w:rPr>
                <w:rFonts w:hint="eastAsia" w:cs="宋体"/>
                <w:kern w:val="0"/>
                <w:lang w:bidi="ar"/>
              </w:rPr>
            </w:pPr>
            <w:r>
              <w:rPr>
                <w:rFonts w:hint="eastAsia" w:cs="宋体"/>
                <w:kern w:val="0"/>
                <w:lang w:bidi="ar"/>
              </w:rPr>
              <w:t>▲</w:t>
            </w:r>
            <w:r>
              <w:rPr>
                <w:rFonts w:cs="宋体"/>
                <w:kern w:val="0"/>
                <w:lang w:bidi="ar"/>
              </w:rPr>
              <w:t xml:space="preserve">CPU：≥i5-13420H，核心数≥8核，主频≥2.1GHz </w:t>
            </w:r>
          </w:p>
          <w:p w14:paraId="5005796E">
            <w:pPr>
              <w:numPr>
                <w:ilvl w:val="0"/>
                <w:numId w:val="5"/>
              </w:numPr>
              <w:spacing w:line="240" w:lineRule="auto"/>
              <w:jc w:val="both"/>
              <w:rPr>
                <w:rFonts w:hint="eastAsia" w:cs="宋体"/>
                <w:kern w:val="0"/>
                <w:lang w:bidi="ar"/>
              </w:rPr>
            </w:pPr>
            <w:r>
              <w:rPr>
                <w:rFonts w:hint="eastAsia" w:cs="宋体"/>
                <w:kern w:val="0"/>
                <w:lang w:bidi="ar"/>
              </w:rPr>
              <w:t>▲</w:t>
            </w:r>
            <w:r>
              <w:rPr>
                <w:rFonts w:cs="宋体"/>
                <w:kern w:val="0"/>
                <w:lang w:bidi="ar"/>
              </w:rPr>
              <w:t>内存：≥16G DDR5 内存，标配双内存插槽</w:t>
            </w:r>
          </w:p>
          <w:p w14:paraId="5B36DE5D">
            <w:pPr>
              <w:numPr>
                <w:ilvl w:val="0"/>
                <w:numId w:val="5"/>
              </w:numPr>
              <w:spacing w:line="240" w:lineRule="auto"/>
              <w:jc w:val="both"/>
              <w:rPr>
                <w:rFonts w:hint="eastAsia" w:cs="宋体"/>
                <w:kern w:val="0"/>
                <w:lang w:bidi="ar"/>
              </w:rPr>
            </w:pPr>
            <w:r>
              <w:rPr>
                <w:rFonts w:hint="eastAsia" w:cs="宋体"/>
                <w:kern w:val="0"/>
                <w:lang w:bidi="ar"/>
              </w:rPr>
              <w:t>▲</w:t>
            </w:r>
            <w:r>
              <w:rPr>
                <w:rFonts w:cs="宋体"/>
                <w:kern w:val="0"/>
                <w:lang w:bidi="ar"/>
              </w:rPr>
              <w:t xml:space="preserve">硬盘：≥1TB M.2  SSD硬盘  </w:t>
            </w:r>
          </w:p>
          <w:p w14:paraId="6925C640">
            <w:pPr>
              <w:numPr>
                <w:ilvl w:val="0"/>
                <w:numId w:val="5"/>
              </w:numPr>
              <w:spacing w:line="240" w:lineRule="auto"/>
              <w:jc w:val="both"/>
              <w:rPr>
                <w:rFonts w:hint="eastAsia" w:cs="宋体"/>
                <w:kern w:val="0"/>
                <w:lang w:bidi="ar"/>
              </w:rPr>
            </w:pPr>
            <w:r>
              <w:rPr>
                <w:rFonts w:hint="eastAsia" w:cs="宋体"/>
                <w:kern w:val="0"/>
                <w:lang w:bidi="ar"/>
              </w:rPr>
              <w:t>▲</w:t>
            </w:r>
            <w:r>
              <w:rPr>
                <w:rFonts w:cs="宋体"/>
                <w:kern w:val="0"/>
                <w:lang w:bidi="ar"/>
              </w:rPr>
              <w:t>显示屏：14” LED雾面防眩光液晶显示屏（≥1920x1200）</w:t>
            </w:r>
          </w:p>
          <w:p w14:paraId="17CBE36C">
            <w:pPr>
              <w:numPr>
                <w:ilvl w:val="0"/>
                <w:numId w:val="5"/>
              </w:numPr>
              <w:spacing w:line="240" w:lineRule="auto"/>
              <w:jc w:val="both"/>
              <w:rPr>
                <w:rFonts w:hint="eastAsia" w:cs="宋体"/>
                <w:kern w:val="0"/>
                <w:lang w:bidi="ar"/>
              </w:rPr>
            </w:pPr>
            <w:r>
              <w:rPr>
                <w:rFonts w:cs="宋体"/>
                <w:kern w:val="0"/>
                <w:lang w:bidi="ar"/>
              </w:rPr>
              <w:t>显卡：集成显卡</w:t>
            </w:r>
          </w:p>
          <w:p w14:paraId="2F0ACAD3">
            <w:pPr>
              <w:numPr>
                <w:ilvl w:val="0"/>
                <w:numId w:val="5"/>
              </w:numPr>
              <w:spacing w:line="240" w:lineRule="auto"/>
              <w:jc w:val="both"/>
              <w:rPr>
                <w:rFonts w:hint="eastAsia" w:cs="宋体"/>
                <w:kern w:val="0"/>
                <w:lang w:bidi="ar"/>
              </w:rPr>
            </w:pPr>
            <w:r>
              <w:rPr>
                <w:rFonts w:cs="宋体"/>
                <w:kern w:val="0"/>
                <w:lang w:bidi="ar"/>
              </w:rPr>
              <w:t>网卡：性能≥802.11 AX无线网卡，支持WIFI6协议和蓝牙5.0以上协议）</w:t>
            </w:r>
          </w:p>
          <w:p w14:paraId="7AED3C57">
            <w:pPr>
              <w:numPr>
                <w:ilvl w:val="0"/>
                <w:numId w:val="5"/>
              </w:numPr>
              <w:spacing w:line="240" w:lineRule="auto"/>
              <w:jc w:val="both"/>
              <w:rPr>
                <w:rFonts w:hint="eastAsia" w:cs="宋体"/>
                <w:kern w:val="0"/>
                <w:lang w:bidi="ar"/>
              </w:rPr>
            </w:pPr>
            <w:r>
              <w:rPr>
                <w:rFonts w:cs="宋体"/>
                <w:kern w:val="0"/>
                <w:lang w:bidi="ar"/>
              </w:rPr>
              <w:t>定位设备：多点触控触摸板</w:t>
            </w:r>
          </w:p>
          <w:p w14:paraId="1DDB1B53">
            <w:pPr>
              <w:numPr>
                <w:ilvl w:val="0"/>
                <w:numId w:val="5"/>
              </w:numPr>
              <w:spacing w:line="240" w:lineRule="auto"/>
              <w:jc w:val="both"/>
              <w:rPr>
                <w:rFonts w:hint="eastAsia" w:cs="宋体"/>
                <w:kern w:val="0"/>
                <w:lang w:bidi="ar"/>
              </w:rPr>
            </w:pPr>
            <w:r>
              <w:rPr>
                <w:rFonts w:cs="宋体"/>
                <w:kern w:val="0"/>
                <w:lang w:bidi="ar"/>
              </w:rPr>
              <w:t>操作系统：配置正版Windows11操作系统</w:t>
            </w:r>
          </w:p>
          <w:p w14:paraId="0DF55FEC">
            <w:pPr>
              <w:numPr>
                <w:ilvl w:val="0"/>
                <w:numId w:val="5"/>
              </w:numPr>
              <w:spacing w:line="240" w:lineRule="auto"/>
              <w:jc w:val="both"/>
              <w:rPr>
                <w:rFonts w:hint="eastAsia" w:cs="宋体"/>
                <w:kern w:val="0"/>
                <w:lang w:bidi="ar"/>
              </w:rPr>
            </w:pPr>
            <w:r>
              <w:rPr>
                <w:rFonts w:cs="宋体"/>
                <w:kern w:val="0"/>
                <w:lang w:bidi="ar"/>
              </w:rPr>
              <w:t>机壳：笔记本顶盖和底壳为铝合金材质</w:t>
            </w:r>
          </w:p>
          <w:p w14:paraId="1CA4D28B">
            <w:pPr>
              <w:numPr>
                <w:ilvl w:val="0"/>
                <w:numId w:val="5"/>
              </w:numPr>
              <w:spacing w:line="240" w:lineRule="auto"/>
              <w:jc w:val="both"/>
              <w:rPr>
                <w:rFonts w:hint="eastAsia" w:cs="宋体"/>
                <w:kern w:val="0"/>
                <w:lang w:bidi="ar"/>
              </w:rPr>
            </w:pPr>
            <w:r>
              <w:rPr>
                <w:rFonts w:hint="eastAsia" w:cs="宋体"/>
                <w:kern w:val="0"/>
                <w:lang w:bidi="ar"/>
              </w:rPr>
              <w:t>▲</w:t>
            </w:r>
            <w:r>
              <w:rPr>
                <w:rFonts w:cs="宋体"/>
                <w:kern w:val="0"/>
                <w:lang w:bidi="ar"/>
              </w:rPr>
              <w:t>服务：</w:t>
            </w:r>
            <w:r>
              <w:rPr>
                <w:rFonts w:hint="eastAsia" w:cs="宋体"/>
                <w:kern w:val="0"/>
                <w:lang w:bidi="ar"/>
              </w:rPr>
              <w:t>制造厂商承诺提供3年的保修及上门服务</w:t>
            </w:r>
            <w:r>
              <w:rPr>
                <w:rFonts w:cs="宋体"/>
                <w:kern w:val="0"/>
                <w:lang w:bidi="ar"/>
              </w:rPr>
              <w:t>。</w:t>
            </w:r>
            <w:r>
              <w:rPr>
                <w:rFonts w:hint="eastAsia" w:cs="宋体"/>
                <w:kern w:val="0"/>
                <w:lang w:bidi="ar"/>
              </w:rPr>
              <w:t>为保证设备的可靠性服务，要求提供加盖制造厂商公章的针对本项目的技术参数确认函和售后服务承诺函</w:t>
            </w:r>
          </w:p>
        </w:tc>
      </w:tr>
      <w:tr w14:paraId="35DA221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1D6BA1EC">
            <w:pPr>
              <w:widowControl/>
              <w:spacing w:line="240" w:lineRule="auto"/>
              <w:jc w:val="center"/>
              <w:rPr>
                <w:rFonts w:hint="eastAsia" w:cs="宋体"/>
                <w:kern w:val="0"/>
              </w:rPr>
            </w:pPr>
            <w:r>
              <w:rPr>
                <w:rFonts w:hint="eastAsia" w:cs="宋体"/>
                <w:kern w:val="0"/>
              </w:rPr>
              <w:t>3</w:t>
            </w:r>
          </w:p>
        </w:tc>
        <w:tc>
          <w:tcPr>
            <w:tcW w:w="992" w:type="dxa"/>
            <w:tcBorders>
              <w:bottom w:val="single" w:color="000000" w:sz="4" w:space="0"/>
            </w:tcBorders>
            <w:shd w:val="clear" w:color="auto" w:fill="auto"/>
            <w:vAlign w:val="center"/>
          </w:tcPr>
          <w:p w14:paraId="751A3232">
            <w:pPr>
              <w:widowControl/>
              <w:spacing w:line="240" w:lineRule="auto"/>
              <w:jc w:val="center"/>
              <w:rPr>
                <w:rFonts w:hint="eastAsia" w:cs="宋体"/>
                <w:kern w:val="0"/>
              </w:rPr>
            </w:pPr>
            <w:r>
              <w:rPr>
                <w:rFonts w:hint="eastAsia" w:cs="宋体"/>
                <w:kern w:val="0"/>
                <w:lang w:bidi="ar"/>
              </w:rPr>
              <w:t>激光打印机</w:t>
            </w:r>
          </w:p>
        </w:tc>
        <w:tc>
          <w:tcPr>
            <w:tcW w:w="851" w:type="dxa"/>
            <w:tcBorders>
              <w:bottom w:val="single" w:color="000000" w:sz="4" w:space="0"/>
            </w:tcBorders>
            <w:vAlign w:val="center"/>
          </w:tcPr>
          <w:p w14:paraId="10157BC4">
            <w:pPr>
              <w:rPr>
                <w:rFonts w:hint="eastAsia"/>
              </w:rPr>
            </w:pPr>
            <w:r>
              <w:rPr>
                <w:rFonts w:hint="eastAsia"/>
              </w:rPr>
              <w:t>台</w:t>
            </w:r>
          </w:p>
        </w:tc>
        <w:tc>
          <w:tcPr>
            <w:tcW w:w="850" w:type="dxa"/>
            <w:tcBorders>
              <w:bottom w:val="single" w:color="000000" w:sz="4" w:space="0"/>
            </w:tcBorders>
            <w:vAlign w:val="center"/>
          </w:tcPr>
          <w:p w14:paraId="0D6A9223">
            <w:pPr>
              <w:rPr>
                <w:rFonts w:hint="eastAsia"/>
              </w:rPr>
            </w:pPr>
            <w:r>
              <w:rPr>
                <w:rFonts w:hint="eastAsia"/>
              </w:rPr>
              <w:t>33</w:t>
            </w:r>
          </w:p>
        </w:tc>
        <w:tc>
          <w:tcPr>
            <w:tcW w:w="5528" w:type="dxa"/>
            <w:tcBorders>
              <w:bottom w:val="single" w:color="000000" w:sz="4" w:space="0"/>
            </w:tcBorders>
            <w:shd w:val="clear" w:color="auto" w:fill="auto"/>
            <w:vAlign w:val="center"/>
          </w:tcPr>
          <w:p w14:paraId="01579B1A">
            <w:pPr>
              <w:pStyle w:val="74"/>
              <w:widowControl/>
              <w:numPr>
                <w:ilvl w:val="0"/>
                <w:numId w:val="6"/>
              </w:numPr>
              <w:spacing w:line="240" w:lineRule="auto"/>
              <w:ind w:firstLineChars="0"/>
              <w:rPr>
                <w:rFonts w:cs="宋体"/>
                <w:kern w:val="0"/>
                <w:szCs w:val="24"/>
              </w:rPr>
            </w:pPr>
            <w:r>
              <w:rPr>
                <w:rFonts w:hint="eastAsia" w:cs="宋体"/>
                <w:kern w:val="0"/>
                <w:szCs w:val="24"/>
              </w:rPr>
              <w:t>最大支持幅面A4，</w:t>
            </w:r>
            <w:r>
              <w:rPr>
                <w:rFonts w:hint="eastAsia" w:cs="宋体"/>
                <w:kern w:val="0"/>
              </w:rPr>
              <w:t>黑白，单面打印，USB连接，开放式纸盒，鼓粉一体，打印速度≥18页/分钟，一级能效。</w:t>
            </w:r>
          </w:p>
        </w:tc>
      </w:tr>
      <w:tr w14:paraId="47F8006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1EB5911D">
            <w:pPr>
              <w:widowControl/>
              <w:spacing w:line="240" w:lineRule="auto"/>
              <w:jc w:val="center"/>
              <w:rPr>
                <w:rFonts w:hint="eastAsia" w:cs="宋体"/>
                <w:kern w:val="0"/>
              </w:rPr>
            </w:pPr>
            <w:r>
              <w:rPr>
                <w:rFonts w:hint="eastAsia" w:cs="宋体"/>
                <w:kern w:val="0"/>
              </w:rPr>
              <w:t>4</w:t>
            </w:r>
          </w:p>
        </w:tc>
        <w:tc>
          <w:tcPr>
            <w:tcW w:w="992" w:type="dxa"/>
            <w:tcBorders>
              <w:bottom w:val="single" w:color="000000" w:sz="4" w:space="0"/>
            </w:tcBorders>
            <w:shd w:val="clear" w:color="auto" w:fill="auto"/>
            <w:vAlign w:val="center"/>
          </w:tcPr>
          <w:p w14:paraId="692C5A4F">
            <w:pPr>
              <w:widowControl/>
              <w:spacing w:line="240" w:lineRule="auto"/>
              <w:jc w:val="center"/>
              <w:rPr>
                <w:rFonts w:hint="eastAsia" w:cs="宋体"/>
                <w:kern w:val="0"/>
              </w:rPr>
            </w:pPr>
            <w:r>
              <w:rPr>
                <w:rFonts w:hint="eastAsia" w:cs="宋体"/>
                <w:kern w:val="0"/>
                <w:lang w:bidi="ar"/>
              </w:rPr>
              <w:t>热敏票据打印机</w:t>
            </w:r>
          </w:p>
        </w:tc>
        <w:tc>
          <w:tcPr>
            <w:tcW w:w="851" w:type="dxa"/>
            <w:tcBorders>
              <w:bottom w:val="single" w:color="000000" w:sz="4" w:space="0"/>
            </w:tcBorders>
            <w:vAlign w:val="center"/>
          </w:tcPr>
          <w:p w14:paraId="23DD2BA2">
            <w:pPr>
              <w:rPr>
                <w:rFonts w:hint="eastAsia"/>
              </w:rPr>
            </w:pPr>
            <w:r>
              <w:rPr>
                <w:rFonts w:hint="eastAsia"/>
              </w:rPr>
              <w:t>台</w:t>
            </w:r>
          </w:p>
        </w:tc>
        <w:tc>
          <w:tcPr>
            <w:tcW w:w="850" w:type="dxa"/>
            <w:tcBorders>
              <w:bottom w:val="single" w:color="000000" w:sz="4" w:space="0"/>
            </w:tcBorders>
            <w:vAlign w:val="center"/>
          </w:tcPr>
          <w:p w14:paraId="461BFAE0">
            <w:pPr>
              <w:rPr>
                <w:rFonts w:hint="eastAsia"/>
              </w:rPr>
            </w:pPr>
            <w:r>
              <w:rPr>
                <w:rFonts w:hint="eastAsia"/>
              </w:rPr>
              <w:t>4</w:t>
            </w:r>
          </w:p>
        </w:tc>
        <w:tc>
          <w:tcPr>
            <w:tcW w:w="5528" w:type="dxa"/>
            <w:tcBorders>
              <w:bottom w:val="single" w:color="000000" w:sz="4" w:space="0"/>
            </w:tcBorders>
            <w:shd w:val="clear" w:color="auto" w:fill="auto"/>
            <w:vAlign w:val="center"/>
          </w:tcPr>
          <w:p w14:paraId="118646B4">
            <w:pPr>
              <w:pStyle w:val="74"/>
              <w:widowControl/>
              <w:numPr>
                <w:ilvl w:val="0"/>
                <w:numId w:val="7"/>
              </w:numPr>
              <w:spacing w:line="240" w:lineRule="auto"/>
              <w:ind w:firstLineChars="0"/>
              <w:rPr>
                <w:rFonts w:cs="宋体"/>
                <w:kern w:val="0"/>
                <w:szCs w:val="24"/>
              </w:rPr>
            </w:pPr>
            <w:r>
              <w:rPr>
                <w:rFonts w:hint="eastAsia" w:cs="宋体"/>
                <w:kern w:val="0"/>
                <w:szCs w:val="24"/>
              </w:rPr>
              <w:t>装纸宽度≥80mm</w:t>
            </w:r>
          </w:p>
          <w:p w14:paraId="367EBF86">
            <w:pPr>
              <w:pStyle w:val="74"/>
              <w:widowControl/>
              <w:numPr>
                <w:ilvl w:val="0"/>
                <w:numId w:val="7"/>
              </w:numPr>
              <w:spacing w:line="240" w:lineRule="auto"/>
              <w:ind w:firstLineChars="0"/>
              <w:rPr>
                <w:rFonts w:cs="宋体"/>
                <w:kern w:val="0"/>
                <w:szCs w:val="24"/>
              </w:rPr>
            </w:pPr>
            <w:r>
              <w:rPr>
                <w:rFonts w:hint="eastAsia" w:cs="宋体"/>
                <w:kern w:val="0"/>
              </w:rPr>
              <w:t>USB连接</w:t>
            </w:r>
          </w:p>
          <w:p w14:paraId="0493D8FE">
            <w:pPr>
              <w:pStyle w:val="74"/>
              <w:widowControl/>
              <w:numPr>
                <w:ilvl w:val="0"/>
                <w:numId w:val="7"/>
              </w:numPr>
              <w:spacing w:line="240" w:lineRule="auto"/>
              <w:ind w:firstLineChars="0"/>
              <w:rPr>
                <w:rFonts w:cs="宋体"/>
                <w:kern w:val="0"/>
                <w:szCs w:val="24"/>
              </w:rPr>
            </w:pPr>
            <w:r>
              <w:rPr>
                <w:rFonts w:hint="eastAsia" w:cs="宋体"/>
                <w:kern w:val="0"/>
              </w:rPr>
              <w:t>打印分辨率≥203dpi</w:t>
            </w:r>
          </w:p>
          <w:p w14:paraId="161E7255">
            <w:pPr>
              <w:pStyle w:val="74"/>
              <w:widowControl/>
              <w:numPr>
                <w:ilvl w:val="0"/>
                <w:numId w:val="7"/>
              </w:numPr>
              <w:spacing w:line="240" w:lineRule="auto"/>
              <w:ind w:firstLineChars="0"/>
              <w:rPr>
                <w:rFonts w:cs="宋体"/>
                <w:kern w:val="0"/>
                <w:szCs w:val="24"/>
              </w:rPr>
            </w:pPr>
            <w:r>
              <w:rPr>
                <w:rFonts w:hint="eastAsia" w:cs="宋体"/>
                <w:kern w:val="0"/>
              </w:rPr>
              <w:t>自动切纸。</w:t>
            </w:r>
          </w:p>
        </w:tc>
      </w:tr>
      <w:tr w14:paraId="5B9272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6C593651">
            <w:pPr>
              <w:widowControl/>
              <w:spacing w:line="240" w:lineRule="auto"/>
              <w:jc w:val="center"/>
              <w:rPr>
                <w:rFonts w:hint="eastAsia" w:cs="宋体"/>
                <w:kern w:val="0"/>
              </w:rPr>
            </w:pPr>
            <w:r>
              <w:rPr>
                <w:rFonts w:hint="eastAsia" w:cs="宋体"/>
                <w:kern w:val="0"/>
              </w:rPr>
              <w:t>5</w:t>
            </w:r>
          </w:p>
        </w:tc>
        <w:tc>
          <w:tcPr>
            <w:tcW w:w="992" w:type="dxa"/>
            <w:tcBorders>
              <w:bottom w:val="single" w:color="000000" w:sz="4" w:space="0"/>
            </w:tcBorders>
            <w:shd w:val="clear" w:color="auto" w:fill="auto"/>
            <w:vAlign w:val="center"/>
          </w:tcPr>
          <w:p w14:paraId="73F868C8">
            <w:pPr>
              <w:widowControl/>
              <w:spacing w:line="240" w:lineRule="auto"/>
              <w:jc w:val="center"/>
              <w:rPr>
                <w:rFonts w:hint="eastAsia" w:cs="宋体"/>
                <w:kern w:val="0"/>
              </w:rPr>
            </w:pPr>
            <w:r>
              <w:rPr>
                <w:rFonts w:hint="eastAsia" w:cs="宋体"/>
                <w:kern w:val="0"/>
                <w:lang w:bidi="ar"/>
              </w:rPr>
              <w:t>针式票据打印机</w:t>
            </w:r>
          </w:p>
        </w:tc>
        <w:tc>
          <w:tcPr>
            <w:tcW w:w="851" w:type="dxa"/>
            <w:tcBorders>
              <w:bottom w:val="single" w:color="000000" w:sz="4" w:space="0"/>
            </w:tcBorders>
            <w:vAlign w:val="center"/>
          </w:tcPr>
          <w:p w14:paraId="099D4169">
            <w:pPr>
              <w:rPr>
                <w:rFonts w:hint="eastAsia"/>
              </w:rPr>
            </w:pPr>
            <w:r>
              <w:rPr>
                <w:rFonts w:hint="eastAsia"/>
              </w:rPr>
              <w:t>台</w:t>
            </w:r>
          </w:p>
        </w:tc>
        <w:tc>
          <w:tcPr>
            <w:tcW w:w="850" w:type="dxa"/>
            <w:tcBorders>
              <w:bottom w:val="single" w:color="000000" w:sz="4" w:space="0"/>
            </w:tcBorders>
            <w:vAlign w:val="center"/>
          </w:tcPr>
          <w:p w14:paraId="2BB8D6D7">
            <w:pPr>
              <w:rPr>
                <w:rFonts w:hint="eastAsia"/>
              </w:rPr>
            </w:pPr>
            <w:r>
              <w:rPr>
                <w:rFonts w:hint="eastAsia"/>
              </w:rPr>
              <w:t>4</w:t>
            </w:r>
          </w:p>
        </w:tc>
        <w:tc>
          <w:tcPr>
            <w:tcW w:w="5528" w:type="dxa"/>
            <w:tcBorders>
              <w:bottom w:val="single" w:color="000000" w:sz="4" w:space="0"/>
            </w:tcBorders>
            <w:shd w:val="clear" w:color="auto" w:fill="auto"/>
            <w:vAlign w:val="center"/>
          </w:tcPr>
          <w:p w14:paraId="5A29A12D">
            <w:pPr>
              <w:pStyle w:val="74"/>
              <w:widowControl/>
              <w:numPr>
                <w:ilvl w:val="0"/>
                <w:numId w:val="8"/>
              </w:numPr>
              <w:spacing w:line="240" w:lineRule="auto"/>
              <w:ind w:firstLineChars="0"/>
              <w:rPr>
                <w:rFonts w:cs="宋体"/>
                <w:kern w:val="0"/>
                <w:szCs w:val="24"/>
              </w:rPr>
            </w:pPr>
            <w:r>
              <w:rPr>
                <w:rFonts w:hint="eastAsia" w:cs="宋体"/>
                <w:kern w:val="0"/>
                <w:szCs w:val="24"/>
              </w:rPr>
              <w:t xml:space="preserve">支持Windows、Linux等操作系统 </w:t>
            </w:r>
          </w:p>
          <w:p w14:paraId="50665CB4">
            <w:pPr>
              <w:pStyle w:val="74"/>
              <w:widowControl/>
              <w:numPr>
                <w:ilvl w:val="0"/>
                <w:numId w:val="8"/>
              </w:numPr>
              <w:spacing w:line="240" w:lineRule="auto"/>
              <w:ind w:firstLineChars="0"/>
              <w:rPr>
                <w:rFonts w:cs="宋体"/>
                <w:kern w:val="0"/>
                <w:szCs w:val="24"/>
              </w:rPr>
            </w:pPr>
            <w:r>
              <w:rPr>
                <w:rFonts w:hint="eastAsia" w:cs="宋体"/>
                <w:kern w:val="0"/>
              </w:rPr>
              <w:t>AC 220V ±10%</w:t>
            </w:r>
          </w:p>
          <w:p w14:paraId="506CA3A2">
            <w:pPr>
              <w:pStyle w:val="74"/>
              <w:widowControl/>
              <w:numPr>
                <w:ilvl w:val="0"/>
                <w:numId w:val="8"/>
              </w:numPr>
              <w:spacing w:line="240" w:lineRule="auto"/>
              <w:ind w:firstLineChars="0"/>
              <w:rPr>
                <w:rFonts w:cs="宋体"/>
                <w:kern w:val="0"/>
                <w:szCs w:val="24"/>
              </w:rPr>
            </w:pPr>
            <w:r>
              <w:rPr>
                <w:rFonts w:hint="eastAsia" w:cs="宋体"/>
                <w:kern w:val="0"/>
              </w:rPr>
              <w:t>50/60Hz</w:t>
            </w:r>
          </w:p>
          <w:p w14:paraId="1B7093F7">
            <w:pPr>
              <w:pStyle w:val="74"/>
              <w:widowControl/>
              <w:numPr>
                <w:ilvl w:val="0"/>
                <w:numId w:val="8"/>
              </w:numPr>
              <w:spacing w:line="240" w:lineRule="auto"/>
              <w:ind w:firstLineChars="0"/>
              <w:rPr>
                <w:rFonts w:cs="宋体"/>
                <w:kern w:val="0"/>
                <w:szCs w:val="24"/>
              </w:rPr>
            </w:pPr>
            <w:r>
              <w:rPr>
                <w:rFonts w:hint="eastAsia" w:cs="宋体"/>
                <w:kern w:val="0"/>
              </w:rPr>
              <w:t>USB连接</w:t>
            </w:r>
          </w:p>
          <w:p w14:paraId="68004682">
            <w:pPr>
              <w:pStyle w:val="74"/>
              <w:widowControl/>
              <w:numPr>
                <w:ilvl w:val="0"/>
                <w:numId w:val="8"/>
              </w:numPr>
              <w:spacing w:line="240" w:lineRule="auto"/>
              <w:ind w:firstLineChars="0"/>
              <w:rPr>
                <w:rFonts w:cs="宋体"/>
                <w:kern w:val="0"/>
                <w:szCs w:val="24"/>
              </w:rPr>
            </w:pPr>
            <w:r>
              <w:rPr>
                <w:rFonts w:hint="eastAsia" w:cs="宋体"/>
                <w:kern w:val="0"/>
              </w:rPr>
              <w:t>平推式。</w:t>
            </w:r>
          </w:p>
        </w:tc>
      </w:tr>
      <w:tr w14:paraId="72EEBA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10D6F123">
            <w:pPr>
              <w:widowControl/>
              <w:spacing w:line="240" w:lineRule="auto"/>
              <w:jc w:val="center"/>
              <w:rPr>
                <w:rFonts w:hint="eastAsia" w:cs="宋体"/>
                <w:kern w:val="0"/>
              </w:rPr>
            </w:pPr>
            <w:r>
              <w:rPr>
                <w:rFonts w:hint="eastAsia" w:cs="宋体"/>
                <w:kern w:val="0"/>
              </w:rPr>
              <w:t>6</w:t>
            </w:r>
          </w:p>
        </w:tc>
        <w:tc>
          <w:tcPr>
            <w:tcW w:w="992" w:type="dxa"/>
            <w:tcBorders>
              <w:bottom w:val="single" w:color="000000" w:sz="4" w:space="0"/>
            </w:tcBorders>
            <w:shd w:val="clear" w:color="auto" w:fill="auto"/>
            <w:vAlign w:val="center"/>
          </w:tcPr>
          <w:p w14:paraId="298EB6F7">
            <w:pPr>
              <w:widowControl/>
              <w:spacing w:line="240" w:lineRule="auto"/>
              <w:jc w:val="center"/>
              <w:rPr>
                <w:rFonts w:hint="eastAsia" w:cs="宋体"/>
                <w:kern w:val="0"/>
              </w:rPr>
            </w:pPr>
            <w:r>
              <w:rPr>
                <w:rFonts w:hint="eastAsia" w:cs="宋体"/>
                <w:kern w:val="0"/>
                <w:lang w:bidi="ar"/>
              </w:rPr>
              <w:t>热敏标签打印机</w:t>
            </w:r>
          </w:p>
        </w:tc>
        <w:tc>
          <w:tcPr>
            <w:tcW w:w="851" w:type="dxa"/>
            <w:tcBorders>
              <w:bottom w:val="single" w:color="000000" w:sz="4" w:space="0"/>
            </w:tcBorders>
            <w:vAlign w:val="center"/>
          </w:tcPr>
          <w:p w14:paraId="5C8E87CF">
            <w:pPr>
              <w:rPr>
                <w:rFonts w:hint="eastAsia"/>
              </w:rPr>
            </w:pPr>
            <w:r>
              <w:rPr>
                <w:rFonts w:hint="eastAsia"/>
              </w:rPr>
              <w:t>台</w:t>
            </w:r>
          </w:p>
        </w:tc>
        <w:tc>
          <w:tcPr>
            <w:tcW w:w="850" w:type="dxa"/>
            <w:tcBorders>
              <w:bottom w:val="single" w:color="000000" w:sz="4" w:space="0"/>
            </w:tcBorders>
            <w:vAlign w:val="center"/>
          </w:tcPr>
          <w:p w14:paraId="16C56347">
            <w:pPr>
              <w:rPr>
                <w:rFonts w:hint="eastAsia"/>
              </w:rPr>
            </w:pPr>
            <w:r>
              <w:rPr>
                <w:rFonts w:hint="eastAsia"/>
              </w:rPr>
              <w:t>2</w:t>
            </w:r>
          </w:p>
        </w:tc>
        <w:tc>
          <w:tcPr>
            <w:tcW w:w="5528" w:type="dxa"/>
            <w:tcBorders>
              <w:bottom w:val="single" w:color="000000" w:sz="4" w:space="0"/>
            </w:tcBorders>
            <w:shd w:val="clear" w:color="auto" w:fill="auto"/>
            <w:vAlign w:val="center"/>
          </w:tcPr>
          <w:p w14:paraId="3BD82B70">
            <w:pPr>
              <w:pStyle w:val="74"/>
              <w:widowControl/>
              <w:numPr>
                <w:ilvl w:val="0"/>
                <w:numId w:val="9"/>
              </w:numPr>
              <w:spacing w:line="240" w:lineRule="auto"/>
              <w:ind w:firstLineChars="0"/>
              <w:rPr>
                <w:rFonts w:cs="宋体"/>
                <w:kern w:val="0"/>
                <w:szCs w:val="24"/>
              </w:rPr>
            </w:pPr>
            <w:r>
              <w:rPr>
                <w:rFonts w:hint="eastAsia" w:cs="宋体"/>
                <w:kern w:val="0"/>
                <w:szCs w:val="24"/>
              </w:rPr>
              <w:t>USB连接</w:t>
            </w:r>
          </w:p>
          <w:p w14:paraId="61A74884">
            <w:pPr>
              <w:pStyle w:val="74"/>
              <w:widowControl/>
              <w:numPr>
                <w:ilvl w:val="0"/>
                <w:numId w:val="9"/>
              </w:numPr>
              <w:spacing w:line="240" w:lineRule="auto"/>
              <w:ind w:firstLineChars="0"/>
              <w:rPr>
                <w:rFonts w:cs="宋体"/>
                <w:kern w:val="0"/>
                <w:szCs w:val="24"/>
              </w:rPr>
            </w:pPr>
            <w:r>
              <w:rPr>
                <w:rFonts w:hint="eastAsia" w:cs="宋体"/>
                <w:kern w:val="0"/>
              </w:rPr>
              <w:t>打印分辨率≥203dpi</w:t>
            </w:r>
          </w:p>
          <w:p w14:paraId="7A88A936">
            <w:pPr>
              <w:pStyle w:val="74"/>
              <w:widowControl/>
              <w:numPr>
                <w:ilvl w:val="0"/>
                <w:numId w:val="9"/>
              </w:numPr>
              <w:spacing w:line="240" w:lineRule="auto"/>
              <w:ind w:firstLineChars="0"/>
              <w:rPr>
                <w:rFonts w:cs="宋体"/>
                <w:kern w:val="0"/>
                <w:szCs w:val="24"/>
              </w:rPr>
            </w:pPr>
            <w:r>
              <w:rPr>
                <w:rFonts w:hint="eastAsia" w:cs="宋体"/>
                <w:kern w:val="0"/>
              </w:rPr>
              <w:t>最大装纸宽度≥116mm,最小装纸宽度≤25.4mm</w:t>
            </w:r>
          </w:p>
          <w:p w14:paraId="468A18C7">
            <w:pPr>
              <w:pStyle w:val="74"/>
              <w:widowControl/>
              <w:numPr>
                <w:ilvl w:val="0"/>
                <w:numId w:val="9"/>
              </w:numPr>
              <w:spacing w:line="240" w:lineRule="auto"/>
              <w:ind w:firstLineChars="0"/>
              <w:rPr>
                <w:rFonts w:cs="宋体"/>
                <w:kern w:val="0"/>
                <w:szCs w:val="24"/>
              </w:rPr>
            </w:pPr>
            <w:r>
              <w:rPr>
                <w:rFonts w:hint="eastAsia" w:cs="宋体"/>
                <w:kern w:val="0"/>
              </w:rPr>
              <w:t>打印宽度≥108mm</w:t>
            </w:r>
          </w:p>
          <w:p w14:paraId="39C07031">
            <w:pPr>
              <w:pStyle w:val="74"/>
              <w:widowControl/>
              <w:numPr>
                <w:ilvl w:val="0"/>
                <w:numId w:val="9"/>
              </w:numPr>
              <w:spacing w:line="240" w:lineRule="auto"/>
              <w:ind w:firstLineChars="0"/>
              <w:rPr>
                <w:rFonts w:cs="宋体"/>
                <w:kern w:val="0"/>
                <w:szCs w:val="24"/>
              </w:rPr>
            </w:pPr>
            <w:r>
              <w:rPr>
                <w:rFonts w:hint="eastAsia" w:cs="宋体"/>
                <w:kern w:val="0"/>
              </w:rPr>
              <w:t>纸卷容量外径≥101.6mm。</w:t>
            </w:r>
          </w:p>
        </w:tc>
      </w:tr>
      <w:tr w14:paraId="633171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55ACCCB8">
            <w:pPr>
              <w:widowControl/>
              <w:spacing w:line="240" w:lineRule="auto"/>
              <w:jc w:val="center"/>
              <w:rPr>
                <w:rFonts w:hint="eastAsia" w:cs="宋体"/>
                <w:kern w:val="0"/>
              </w:rPr>
            </w:pPr>
            <w:r>
              <w:rPr>
                <w:rFonts w:hint="eastAsia" w:cs="宋体"/>
                <w:kern w:val="0"/>
              </w:rPr>
              <w:t>7</w:t>
            </w:r>
          </w:p>
        </w:tc>
        <w:tc>
          <w:tcPr>
            <w:tcW w:w="992" w:type="dxa"/>
            <w:tcBorders>
              <w:bottom w:val="single" w:color="000000" w:sz="4" w:space="0"/>
            </w:tcBorders>
            <w:shd w:val="clear" w:color="auto" w:fill="auto"/>
            <w:vAlign w:val="center"/>
          </w:tcPr>
          <w:p w14:paraId="09D93B4F">
            <w:pPr>
              <w:widowControl/>
              <w:spacing w:line="240" w:lineRule="auto"/>
              <w:jc w:val="center"/>
              <w:rPr>
                <w:rFonts w:hint="eastAsia" w:cs="宋体"/>
                <w:kern w:val="0"/>
              </w:rPr>
            </w:pPr>
            <w:r>
              <w:rPr>
                <w:rFonts w:hint="eastAsia" w:cs="宋体"/>
                <w:kern w:val="0"/>
                <w:lang w:bidi="ar"/>
              </w:rPr>
              <w:t>多功能一体机</w:t>
            </w:r>
          </w:p>
        </w:tc>
        <w:tc>
          <w:tcPr>
            <w:tcW w:w="851" w:type="dxa"/>
            <w:tcBorders>
              <w:bottom w:val="single" w:color="000000" w:sz="4" w:space="0"/>
            </w:tcBorders>
            <w:vAlign w:val="center"/>
          </w:tcPr>
          <w:p w14:paraId="3D1B8993">
            <w:pPr>
              <w:rPr>
                <w:rFonts w:hint="eastAsia"/>
              </w:rPr>
            </w:pPr>
            <w:r>
              <w:rPr>
                <w:rFonts w:hint="eastAsia"/>
              </w:rPr>
              <w:t>台</w:t>
            </w:r>
          </w:p>
        </w:tc>
        <w:tc>
          <w:tcPr>
            <w:tcW w:w="850" w:type="dxa"/>
            <w:tcBorders>
              <w:bottom w:val="single" w:color="000000" w:sz="4" w:space="0"/>
            </w:tcBorders>
            <w:vAlign w:val="center"/>
          </w:tcPr>
          <w:p w14:paraId="18D80D60">
            <w:pPr>
              <w:rPr>
                <w:rFonts w:hint="eastAsia"/>
              </w:rPr>
            </w:pPr>
            <w:r>
              <w:rPr>
                <w:rFonts w:hint="eastAsia"/>
              </w:rPr>
              <w:t>3</w:t>
            </w:r>
          </w:p>
        </w:tc>
        <w:tc>
          <w:tcPr>
            <w:tcW w:w="5528" w:type="dxa"/>
            <w:tcBorders>
              <w:bottom w:val="single" w:color="000000" w:sz="4" w:space="0"/>
            </w:tcBorders>
            <w:shd w:val="clear" w:color="auto" w:fill="auto"/>
            <w:vAlign w:val="center"/>
          </w:tcPr>
          <w:p w14:paraId="7AB486FC">
            <w:pPr>
              <w:pStyle w:val="74"/>
              <w:widowControl/>
              <w:numPr>
                <w:ilvl w:val="0"/>
                <w:numId w:val="10"/>
              </w:numPr>
              <w:spacing w:line="240" w:lineRule="auto"/>
              <w:ind w:firstLineChars="0"/>
              <w:rPr>
                <w:rFonts w:cs="宋体"/>
                <w:kern w:val="0"/>
                <w:szCs w:val="24"/>
              </w:rPr>
            </w:pPr>
            <w:r>
              <w:rPr>
                <w:rFonts w:hint="eastAsia" w:cs="宋体"/>
                <w:kern w:val="0"/>
                <w:szCs w:val="24"/>
              </w:rPr>
              <w:t>最大支持幅面A4，</w:t>
            </w:r>
            <w:r>
              <w:rPr>
                <w:rFonts w:hint="eastAsia" w:cs="宋体"/>
                <w:kern w:val="0"/>
              </w:rPr>
              <w:t>黑白激光，自动双面打印、复印、扫描，打印速度：≥33页/分钟，分辨率:≥1200*1200dpi，内存：≥512MB，USB和有线网络两种及以上连接方式。</w:t>
            </w:r>
          </w:p>
        </w:tc>
      </w:tr>
      <w:tr w14:paraId="3655732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0D034CBC">
            <w:pPr>
              <w:widowControl/>
              <w:spacing w:line="240" w:lineRule="auto"/>
              <w:jc w:val="center"/>
              <w:rPr>
                <w:rFonts w:hint="eastAsia" w:cs="宋体"/>
                <w:kern w:val="0"/>
              </w:rPr>
            </w:pPr>
            <w:r>
              <w:rPr>
                <w:rFonts w:hint="eastAsia" w:cs="宋体"/>
                <w:kern w:val="0"/>
              </w:rPr>
              <w:t>8</w:t>
            </w:r>
          </w:p>
        </w:tc>
        <w:tc>
          <w:tcPr>
            <w:tcW w:w="992" w:type="dxa"/>
            <w:tcBorders>
              <w:bottom w:val="single" w:color="000000" w:sz="4" w:space="0"/>
            </w:tcBorders>
            <w:shd w:val="clear" w:color="auto" w:fill="auto"/>
            <w:vAlign w:val="center"/>
          </w:tcPr>
          <w:p w14:paraId="583FCFFB">
            <w:pPr>
              <w:widowControl/>
              <w:spacing w:line="240" w:lineRule="auto"/>
              <w:jc w:val="center"/>
              <w:rPr>
                <w:rFonts w:hint="eastAsia" w:cs="宋体"/>
                <w:kern w:val="0"/>
              </w:rPr>
            </w:pPr>
            <w:r>
              <w:rPr>
                <w:rFonts w:hint="eastAsia" w:cs="宋体"/>
                <w:kern w:val="0"/>
                <w:lang w:bidi="ar"/>
              </w:rPr>
              <w:t>投影仪（含120寸幕布）</w:t>
            </w:r>
          </w:p>
        </w:tc>
        <w:tc>
          <w:tcPr>
            <w:tcW w:w="851" w:type="dxa"/>
            <w:tcBorders>
              <w:bottom w:val="single" w:color="000000" w:sz="4" w:space="0"/>
            </w:tcBorders>
            <w:vAlign w:val="center"/>
          </w:tcPr>
          <w:p w14:paraId="5C1C6130">
            <w:pPr>
              <w:rPr>
                <w:rFonts w:hint="eastAsia"/>
              </w:rPr>
            </w:pPr>
            <w:r>
              <w:rPr>
                <w:rFonts w:hint="eastAsia"/>
              </w:rPr>
              <w:t>套</w:t>
            </w:r>
          </w:p>
        </w:tc>
        <w:tc>
          <w:tcPr>
            <w:tcW w:w="850" w:type="dxa"/>
            <w:tcBorders>
              <w:bottom w:val="single" w:color="000000" w:sz="4" w:space="0"/>
            </w:tcBorders>
            <w:vAlign w:val="center"/>
          </w:tcPr>
          <w:p w14:paraId="141DCC14">
            <w:pPr>
              <w:rPr>
                <w:rFonts w:hint="eastAsia"/>
              </w:rPr>
            </w:pPr>
            <w:r>
              <w:rPr>
                <w:rFonts w:hint="eastAsia"/>
              </w:rPr>
              <w:t>2</w:t>
            </w:r>
          </w:p>
        </w:tc>
        <w:tc>
          <w:tcPr>
            <w:tcW w:w="5528" w:type="dxa"/>
            <w:tcBorders>
              <w:bottom w:val="single" w:color="000000" w:sz="4" w:space="0"/>
            </w:tcBorders>
            <w:shd w:val="clear" w:color="auto" w:fill="auto"/>
            <w:vAlign w:val="center"/>
          </w:tcPr>
          <w:p w14:paraId="0B1D455F">
            <w:pPr>
              <w:pStyle w:val="74"/>
              <w:widowControl/>
              <w:numPr>
                <w:ilvl w:val="0"/>
                <w:numId w:val="11"/>
              </w:numPr>
              <w:spacing w:line="240" w:lineRule="auto"/>
              <w:ind w:firstLineChars="0"/>
              <w:rPr>
                <w:rFonts w:cs="宋体"/>
                <w:kern w:val="0"/>
                <w:szCs w:val="24"/>
              </w:rPr>
            </w:pPr>
            <w:r>
              <w:rPr>
                <w:rFonts w:hint="eastAsia" w:cs="宋体"/>
                <w:kern w:val="0"/>
                <w:szCs w:val="24"/>
              </w:rPr>
              <w:t>光源：激光二级管光源</w:t>
            </w:r>
          </w:p>
          <w:p w14:paraId="657A11DD">
            <w:pPr>
              <w:pStyle w:val="74"/>
              <w:widowControl/>
              <w:numPr>
                <w:ilvl w:val="0"/>
                <w:numId w:val="11"/>
              </w:numPr>
              <w:spacing w:line="240" w:lineRule="auto"/>
              <w:ind w:firstLineChars="0"/>
              <w:rPr>
                <w:rFonts w:cs="宋体"/>
                <w:kern w:val="0"/>
                <w:szCs w:val="24"/>
              </w:rPr>
            </w:pPr>
            <w:r>
              <w:rPr>
                <w:rFonts w:hint="eastAsia" w:cs="宋体"/>
                <w:kern w:val="0"/>
                <w:szCs w:val="24"/>
              </w:rPr>
              <w:t>投影技术:3LCD，液晶板尺寸≥0.64英寸，对角线 (16:10宽高比)；</w:t>
            </w:r>
          </w:p>
          <w:p w14:paraId="50E8EFB5">
            <w:pPr>
              <w:pStyle w:val="74"/>
              <w:widowControl/>
              <w:numPr>
                <w:ilvl w:val="0"/>
                <w:numId w:val="11"/>
              </w:numPr>
              <w:spacing w:line="240" w:lineRule="auto"/>
              <w:ind w:firstLineChars="0"/>
              <w:rPr>
                <w:rFonts w:cs="宋体"/>
                <w:kern w:val="0"/>
                <w:szCs w:val="24"/>
              </w:rPr>
            </w:pPr>
            <w:r>
              <w:rPr>
                <w:rFonts w:hint="eastAsia" w:cs="宋体"/>
                <w:kern w:val="0"/>
                <w:szCs w:val="24"/>
              </w:rPr>
              <w:t>▲标准亮度≥4200流明（4500流明中心亮度）</w:t>
            </w:r>
          </w:p>
          <w:p w14:paraId="3104A672">
            <w:pPr>
              <w:pStyle w:val="74"/>
              <w:widowControl/>
              <w:numPr>
                <w:ilvl w:val="0"/>
                <w:numId w:val="11"/>
              </w:numPr>
              <w:spacing w:line="240" w:lineRule="auto"/>
              <w:ind w:firstLineChars="0"/>
              <w:rPr>
                <w:rFonts w:cs="宋体"/>
                <w:kern w:val="0"/>
                <w:szCs w:val="24"/>
              </w:rPr>
            </w:pPr>
            <w:r>
              <w:rPr>
                <w:rFonts w:hint="eastAsia" w:cs="宋体"/>
                <w:kern w:val="0"/>
                <w:szCs w:val="24"/>
              </w:rPr>
              <w:t>对比度≥3000000：1；</w:t>
            </w:r>
          </w:p>
          <w:p w14:paraId="52D9BE72">
            <w:pPr>
              <w:pStyle w:val="74"/>
              <w:widowControl/>
              <w:numPr>
                <w:ilvl w:val="0"/>
                <w:numId w:val="11"/>
              </w:numPr>
              <w:spacing w:line="240" w:lineRule="auto"/>
              <w:ind w:firstLineChars="0"/>
              <w:rPr>
                <w:rFonts w:cs="宋体"/>
                <w:kern w:val="0"/>
                <w:szCs w:val="24"/>
              </w:rPr>
            </w:pPr>
            <w:r>
              <w:rPr>
                <w:rFonts w:hint="eastAsia" w:cs="宋体"/>
                <w:kern w:val="0"/>
                <w:szCs w:val="24"/>
              </w:rPr>
              <w:t>▲标准分辨率≥1920*1200；</w:t>
            </w:r>
          </w:p>
          <w:p w14:paraId="3B2D3A49">
            <w:pPr>
              <w:pStyle w:val="74"/>
              <w:widowControl/>
              <w:numPr>
                <w:ilvl w:val="0"/>
                <w:numId w:val="11"/>
              </w:numPr>
              <w:spacing w:line="240" w:lineRule="auto"/>
              <w:ind w:firstLineChars="0"/>
              <w:rPr>
                <w:rFonts w:cs="宋体"/>
                <w:kern w:val="0"/>
                <w:szCs w:val="24"/>
              </w:rPr>
            </w:pPr>
            <w:r>
              <w:rPr>
                <w:rFonts w:hint="eastAsia" w:cs="宋体"/>
                <w:kern w:val="0"/>
                <w:szCs w:val="24"/>
              </w:rPr>
              <w:t>整机功耗≤240W；</w:t>
            </w:r>
          </w:p>
          <w:p w14:paraId="187E429F">
            <w:pPr>
              <w:pStyle w:val="74"/>
              <w:widowControl/>
              <w:numPr>
                <w:ilvl w:val="0"/>
                <w:numId w:val="11"/>
              </w:numPr>
              <w:spacing w:line="240" w:lineRule="auto"/>
              <w:ind w:firstLineChars="0"/>
              <w:rPr>
                <w:rFonts w:cs="宋体"/>
                <w:kern w:val="0"/>
                <w:szCs w:val="24"/>
              </w:rPr>
            </w:pPr>
            <w:r>
              <w:rPr>
                <w:rFonts w:hint="eastAsia" w:cs="宋体"/>
                <w:kern w:val="0"/>
                <w:szCs w:val="24"/>
              </w:rPr>
              <w:t>光源使用周期≥20000小时，过滤网使用周期长达20000小时；</w:t>
            </w:r>
          </w:p>
          <w:p w14:paraId="31C8D704">
            <w:pPr>
              <w:pStyle w:val="74"/>
              <w:widowControl/>
              <w:numPr>
                <w:ilvl w:val="0"/>
                <w:numId w:val="11"/>
              </w:numPr>
              <w:spacing w:line="240" w:lineRule="auto"/>
              <w:ind w:firstLineChars="0"/>
              <w:rPr>
                <w:rFonts w:cs="宋体"/>
                <w:kern w:val="0"/>
                <w:szCs w:val="24"/>
              </w:rPr>
            </w:pPr>
            <w:r>
              <w:rPr>
                <w:rFonts w:hint="eastAsia" w:cs="宋体"/>
                <w:kern w:val="0"/>
                <w:szCs w:val="24"/>
              </w:rPr>
              <w:t>镜头：手动变焦≥1.2倍，内置扬声器≥10W；</w:t>
            </w:r>
          </w:p>
          <w:p w14:paraId="036EDF2D">
            <w:pPr>
              <w:pStyle w:val="74"/>
              <w:widowControl/>
              <w:numPr>
                <w:ilvl w:val="0"/>
                <w:numId w:val="11"/>
              </w:numPr>
              <w:spacing w:line="240" w:lineRule="auto"/>
              <w:ind w:firstLineChars="0"/>
              <w:rPr>
                <w:rFonts w:cs="宋体"/>
                <w:kern w:val="0"/>
                <w:szCs w:val="24"/>
              </w:rPr>
            </w:pPr>
            <w:r>
              <w:rPr>
                <w:rFonts w:hint="eastAsia" w:cs="宋体"/>
                <w:kern w:val="0"/>
                <w:szCs w:val="24"/>
              </w:rPr>
              <w:t>机器重量≤4.2KG；</w:t>
            </w:r>
          </w:p>
          <w:p w14:paraId="07809305">
            <w:pPr>
              <w:pStyle w:val="74"/>
              <w:widowControl/>
              <w:numPr>
                <w:ilvl w:val="0"/>
                <w:numId w:val="11"/>
              </w:numPr>
              <w:spacing w:line="240" w:lineRule="auto"/>
              <w:ind w:firstLineChars="0"/>
              <w:rPr>
                <w:rFonts w:cs="宋体"/>
                <w:kern w:val="0"/>
                <w:szCs w:val="24"/>
              </w:rPr>
            </w:pPr>
            <w:r>
              <w:rPr>
                <w:rFonts w:hint="eastAsia" w:cs="宋体"/>
                <w:kern w:val="0"/>
                <w:szCs w:val="24"/>
              </w:rPr>
              <w:t>▲全中文机器面板与遥控器；</w:t>
            </w:r>
          </w:p>
          <w:p w14:paraId="753A2EE3">
            <w:pPr>
              <w:pStyle w:val="74"/>
              <w:widowControl/>
              <w:numPr>
                <w:ilvl w:val="0"/>
                <w:numId w:val="11"/>
              </w:numPr>
              <w:spacing w:line="240" w:lineRule="auto"/>
              <w:ind w:firstLineChars="0"/>
              <w:rPr>
                <w:rFonts w:cs="宋体"/>
                <w:kern w:val="0"/>
                <w:szCs w:val="24"/>
              </w:rPr>
            </w:pPr>
            <w:r>
              <w:rPr>
                <w:rFonts w:hint="eastAsia" w:cs="宋体"/>
                <w:kern w:val="0"/>
                <w:szCs w:val="24"/>
              </w:rPr>
              <w:t>内置角度传感器，可自动切换地装/吊装状态，自定义光源输出,可自主调节光源功率,调整范围50%-100%，垂直±25°、水平±35°梯形校正功能、四角梯形校正功能；至少支持6点校正功能，可在四角的基础上,可对中上、中下两点进行调整,可对水平转角表面上(例如墙角或方柱)失真时进行调节。</w:t>
            </w:r>
          </w:p>
          <w:p w14:paraId="6EC6965F">
            <w:pPr>
              <w:pStyle w:val="74"/>
              <w:widowControl/>
              <w:numPr>
                <w:ilvl w:val="0"/>
                <w:numId w:val="11"/>
              </w:numPr>
              <w:spacing w:line="240" w:lineRule="auto"/>
              <w:ind w:firstLineChars="0"/>
              <w:rPr>
                <w:rFonts w:cs="宋体"/>
                <w:kern w:val="0"/>
                <w:szCs w:val="24"/>
              </w:rPr>
            </w:pPr>
            <w:r>
              <w:rPr>
                <w:rFonts w:hint="eastAsia" w:cs="宋体"/>
                <w:kern w:val="0"/>
                <w:szCs w:val="24"/>
              </w:rPr>
              <w:t>曲面校正功能，可消除图像桶状或枕状变形，使画面轻松投影到曲面屏幕；</w:t>
            </w:r>
          </w:p>
          <w:p w14:paraId="3558C5DE">
            <w:pPr>
              <w:pStyle w:val="74"/>
              <w:widowControl/>
              <w:numPr>
                <w:ilvl w:val="0"/>
                <w:numId w:val="11"/>
              </w:numPr>
              <w:spacing w:line="240" w:lineRule="auto"/>
              <w:ind w:firstLineChars="0"/>
              <w:rPr>
                <w:rFonts w:cs="宋体"/>
                <w:kern w:val="0"/>
                <w:szCs w:val="24"/>
              </w:rPr>
            </w:pPr>
            <w:r>
              <w:rPr>
                <w:rFonts w:hint="eastAsia" w:cs="宋体"/>
                <w:kern w:val="0"/>
                <w:szCs w:val="24"/>
              </w:rPr>
              <w:t>强光感应功能：投影机内置光线传感器可以实时测量房间亮度，并实时调节投影图像的色调和亮度，以适应周围照明条件；</w:t>
            </w:r>
          </w:p>
          <w:p w14:paraId="5FC0A5B2">
            <w:pPr>
              <w:pStyle w:val="74"/>
              <w:widowControl/>
              <w:numPr>
                <w:ilvl w:val="0"/>
                <w:numId w:val="11"/>
              </w:numPr>
              <w:spacing w:line="240" w:lineRule="auto"/>
              <w:ind w:firstLineChars="0"/>
              <w:rPr>
                <w:rFonts w:cs="宋体"/>
                <w:kern w:val="0"/>
                <w:szCs w:val="24"/>
              </w:rPr>
            </w:pPr>
            <w:r>
              <w:rPr>
                <w:rFonts w:hint="eastAsia" w:cs="宋体"/>
                <w:kern w:val="0"/>
                <w:szCs w:val="24"/>
              </w:rPr>
              <w:t>数码变焦扩展功能：当投影距离超出投影机光学变焦范围时，可通过全新搭载的数码变焦扩展功能扩展投影距离；</w:t>
            </w:r>
          </w:p>
          <w:p w14:paraId="4C0DD1DD">
            <w:pPr>
              <w:pStyle w:val="74"/>
              <w:widowControl/>
              <w:numPr>
                <w:ilvl w:val="0"/>
                <w:numId w:val="11"/>
              </w:numPr>
              <w:spacing w:line="240" w:lineRule="auto"/>
              <w:ind w:firstLineChars="0"/>
              <w:rPr>
                <w:rFonts w:cs="宋体"/>
                <w:kern w:val="0"/>
                <w:szCs w:val="24"/>
              </w:rPr>
            </w:pPr>
            <w:r>
              <w:rPr>
                <w:rFonts w:hint="eastAsia" w:cs="宋体"/>
                <w:kern w:val="0"/>
                <w:szCs w:val="24"/>
              </w:rPr>
              <w:t>支持4K信号输入；</w:t>
            </w:r>
          </w:p>
          <w:p w14:paraId="49F57E41">
            <w:pPr>
              <w:pStyle w:val="74"/>
              <w:widowControl/>
              <w:numPr>
                <w:ilvl w:val="0"/>
                <w:numId w:val="11"/>
              </w:numPr>
              <w:spacing w:line="240" w:lineRule="auto"/>
              <w:ind w:firstLineChars="0"/>
              <w:rPr>
                <w:rFonts w:cs="宋体"/>
                <w:kern w:val="0"/>
                <w:szCs w:val="24"/>
              </w:rPr>
            </w:pPr>
            <w:r>
              <w:rPr>
                <w:rFonts w:hint="eastAsia" w:cs="宋体"/>
                <w:kern w:val="0"/>
                <w:szCs w:val="24"/>
              </w:rPr>
              <w:t>支持二维码无线连接功能；</w:t>
            </w:r>
          </w:p>
          <w:p w14:paraId="6DDD8CD5">
            <w:pPr>
              <w:pStyle w:val="74"/>
              <w:widowControl/>
              <w:numPr>
                <w:ilvl w:val="0"/>
                <w:numId w:val="11"/>
              </w:numPr>
              <w:spacing w:line="240" w:lineRule="auto"/>
              <w:ind w:firstLineChars="0"/>
              <w:rPr>
                <w:rFonts w:cs="宋体"/>
                <w:kern w:val="0"/>
                <w:szCs w:val="24"/>
              </w:rPr>
            </w:pPr>
            <w:r>
              <w:rPr>
                <w:rFonts w:hint="eastAsia" w:cs="宋体"/>
                <w:kern w:val="0"/>
                <w:szCs w:val="24"/>
              </w:rPr>
              <w:t>HDMI支持CEC协议连接；</w:t>
            </w:r>
          </w:p>
          <w:p w14:paraId="5FF5AEF0">
            <w:pPr>
              <w:pStyle w:val="74"/>
              <w:widowControl/>
              <w:numPr>
                <w:ilvl w:val="0"/>
                <w:numId w:val="11"/>
              </w:numPr>
              <w:spacing w:line="240" w:lineRule="auto"/>
              <w:ind w:firstLineChars="0"/>
              <w:rPr>
                <w:rFonts w:cs="宋体"/>
                <w:kern w:val="0"/>
                <w:szCs w:val="24"/>
              </w:rPr>
            </w:pPr>
            <w:r>
              <w:rPr>
                <w:rFonts w:hint="eastAsia" w:cs="宋体"/>
                <w:kern w:val="0"/>
                <w:szCs w:val="24"/>
              </w:rPr>
              <w:t>自动输入信号搜索；</w:t>
            </w:r>
          </w:p>
          <w:p w14:paraId="49D214FB">
            <w:pPr>
              <w:pStyle w:val="74"/>
              <w:widowControl/>
              <w:numPr>
                <w:ilvl w:val="0"/>
                <w:numId w:val="11"/>
              </w:numPr>
              <w:spacing w:line="240" w:lineRule="auto"/>
              <w:ind w:firstLineChars="0"/>
              <w:rPr>
                <w:rFonts w:cs="宋体"/>
                <w:kern w:val="0"/>
                <w:szCs w:val="24"/>
              </w:rPr>
            </w:pPr>
            <w:r>
              <w:rPr>
                <w:rFonts w:hint="eastAsia" w:cs="宋体"/>
                <w:kern w:val="0"/>
                <w:szCs w:val="24"/>
              </w:rPr>
              <w:t>要求提供制造厂商针对本项目的技术参数确认函和售后服务承诺函。</w:t>
            </w:r>
          </w:p>
          <w:p w14:paraId="532DD425">
            <w:pPr>
              <w:pStyle w:val="74"/>
              <w:widowControl/>
              <w:numPr>
                <w:ilvl w:val="0"/>
                <w:numId w:val="11"/>
              </w:numPr>
              <w:spacing w:line="240" w:lineRule="auto"/>
              <w:ind w:firstLineChars="0"/>
              <w:rPr>
                <w:rFonts w:cs="宋体"/>
                <w:kern w:val="0"/>
                <w:szCs w:val="24"/>
              </w:rPr>
            </w:pPr>
            <w:r>
              <w:rPr>
                <w:rFonts w:hint="eastAsia" w:cs="宋体"/>
                <w:kern w:val="0"/>
                <w:szCs w:val="24"/>
              </w:rPr>
              <w:t>▲电动幕布：120寸,16:10</w:t>
            </w:r>
          </w:p>
        </w:tc>
      </w:tr>
      <w:tr w14:paraId="55A2557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6DD98710">
            <w:pPr>
              <w:widowControl/>
              <w:spacing w:line="240" w:lineRule="auto"/>
              <w:jc w:val="center"/>
              <w:rPr>
                <w:rFonts w:hint="eastAsia" w:cs="宋体"/>
                <w:kern w:val="0"/>
              </w:rPr>
            </w:pPr>
            <w:r>
              <w:rPr>
                <w:rFonts w:hint="eastAsia" w:cs="宋体"/>
                <w:kern w:val="0"/>
              </w:rPr>
              <w:t>9</w:t>
            </w:r>
          </w:p>
        </w:tc>
        <w:tc>
          <w:tcPr>
            <w:tcW w:w="992" w:type="dxa"/>
            <w:tcBorders>
              <w:bottom w:val="single" w:color="000000" w:sz="4" w:space="0"/>
            </w:tcBorders>
            <w:shd w:val="clear" w:color="auto" w:fill="auto"/>
            <w:vAlign w:val="center"/>
          </w:tcPr>
          <w:p w14:paraId="049CA6A2">
            <w:pPr>
              <w:widowControl/>
              <w:spacing w:line="240" w:lineRule="auto"/>
              <w:jc w:val="center"/>
              <w:rPr>
                <w:rFonts w:hint="eastAsia" w:cs="宋体"/>
                <w:kern w:val="0"/>
              </w:rPr>
            </w:pPr>
            <w:r>
              <w:rPr>
                <w:rFonts w:hint="eastAsia" w:cs="宋体"/>
                <w:kern w:val="0"/>
                <w:lang w:bidi="ar"/>
              </w:rPr>
              <w:t>投影仪（含100寸幕布）</w:t>
            </w:r>
          </w:p>
        </w:tc>
        <w:tc>
          <w:tcPr>
            <w:tcW w:w="851" w:type="dxa"/>
            <w:tcBorders>
              <w:bottom w:val="single" w:color="000000" w:sz="4" w:space="0"/>
            </w:tcBorders>
            <w:vAlign w:val="center"/>
          </w:tcPr>
          <w:p w14:paraId="4660A6EA">
            <w:pPr>
              <w:rPr>
                <w:rFonts w:hint="eastAsia"/>
              </w:rPr>
            </w:pPr>
            <w:r>
              <w:rPr>
                <w:rFonts w:hint="eastAsia"/>
              </w:rPr>
              <w:t>套</w:t>
            </w:r>
          </w:p>
        </w:tc>
        <w:tc>
          <w:tcPr>
            <w:tcW w:w="850" w:type="dxa"/>
            <w:tcBorders>
              <w:bottom w:val="single" w:color="000000" w:sz="4" w:space="0"/>
            </w:tcBorders>
            <w:vAlign w:val="center"/>
          </w:tcPr>
          <w:p w14:paraId="131B97BE">
            <w:pPr>
              <w:rPr>
                <w:rFonts w:hint="eastAsia"/>
              </w:rPr>
            </w:pPr>
            <w:r>
              <w:rPr>
                <w:rFonts w:hint="eastAsia"/>
              </w:rPr>
              <w:t>1</w:t>
            </w:r>
          </w:p>
        </w:tc>
        <w:tc>
          <w:tcPr>
            <w:tcW w:w="5528" w:type="dxa"/>
            <w:tcBorders>
              <w:bottom w:val="single" w:color="000000" w:sz="4" w:space="0"/>
            </w:tcBorders>
            <w:shd w:val="clear" w:color="auto" w:fill="auto"/>
            <w:vAlign w:val="center"/>
          </w:tcPr>
          <w:p w14:paraId="137E1C6F">
            <w:pPr>
              <w:pStyle w:val="74"/>
              <w:widowControl/>
              <w:numPr>
                <w:ilvl w:val="0"/>
                <w:numId w:val="12"/>
              </w:numPr>
              <w:spacing w:line="240" w:lineRule="auto"/>
              <w:ind w:firstLineChars="0"/>
              <w:rPr>
                <w:rFonts w:cs="宋体"/>
                <w:kern w:val="0"/>
                <w:szCs w:val="24"/>
              </w:rPr>
            </w:pPr>
            <w:r>
              <w:rPr>
                <w:rFonts w:hint="eastAsia" w:cs="宋体"/>
                <w:kern w:val="0"/>
                <w:szCs w:val="24"/>
              </w:rPr>
              <w:t>3LCD显示技术及同等性能替代技术或以上技术，液晶板尺寸≥0.64英寸；</w:t>
            </w:r>
          </w:p>
          <w:p w14:paraId="0AD8D623">
            <w:pPr>
              <w:pStyle w:val="74"/>
              <w:widowControl/>
              <w:numPr>
                <w:ilvl w:val="0"/>
                <w:numId w:val="12"/>
              </w:numPr>
              <w:spacing w:line="240" w:lineRule="auto"/>
              <w:ind w:firstLineChars="0"/>
              <w:rPr>
                <w:rFonts w:cs="宋体"/>
                <w:kern w:val="0"/>
                <w:szCs w:val="24"/>
              </w:rPr>
            </w:pPr>
            <w:r>
              <w:rPr>
                <w:rFonts w:hint="eastAsia" w:cs="宋体"/>
                <w:kern w:val="0"/>
                <w:szCs w:val="24"/>
              </w:rPr>
              <w:t>▲标准亮度≥4000流明；</w:t>
            </w:r>
          </w:p>
          <w:p w14:paraId="5EC53003">
            <w:pPr>
              <w:pStyle w:val="74"/>
              <w:widowControl/>
              <w:numPr>
                <w:ilvl w:val="0"/>
                <w:numId w:val="12"/>
              </w:numPr>
              <w:spacing w:line="240" w:lineRule="auto"/>
              <w:ind w:firstLineChars="0"/>
              <w:rPr>
                <w:rFonts w:cs="宋体"/>
                <w:kern w:val="0"/>
                <w:szCs w:val="24"/>
              </w:rPr>
            </w:pPr>
            <w:r>
              <w:rPr>
                <w:rFonts w:hint="eastAsia" w:cs="宋体"/>
                <w:kern w:val="0"/>
                <w:szCs w:val="24"/>
              </w:rPr>
              <w:t>对比度≥16000:1；</w:t>
            </w:r>
          </w:p>
          <w:p w14:paraId="71B0C07F">
            <w:pPr>
              <w:pStyle w:val="74"/>
              <w:widowControl/>
              <w:numPr>
                <w:ilvl w:val="0"/>
                <w:numId w:val="12"/>
              </w:numPr>
              <w:spacing w:line="240" w:lineRule="auto"/>
              <w:ind w:firstLineChars="0"/>
              <w:rPr>
                <w:rFonts w:cs="宋体"/>
                <w:kern w:val="0"/>
                <w:szCs w:val="24"/>
              </w:rPr>
            </w:pPr>
            <w:r>
              <w:rPr>
                <w:rFonts w:hint="eastAsia" w:cs="宋体"/>
                <w:kern w:val="0"/>
                <w:szCs w:val="24"/>
              </w:rPr>
              <w:t>▲标准分辨率≥1920*1200；</w:t>
            </w:r>
          </w:p>
          <w:p w14:paraId="2F8B5512">
            <w:pPr>
              <w:pStyle w:val="74"/>
              <w:widowControl/>
              <w:numPr>
                <w:ilvl w:val="0"/>
                <w:numId w:val="12"/>
              </w:numPr>
              <w:spacing w:line="240" w:lineRule="auto"/>
              <w:ind w:firstLineChars="0"/>
              <w:rPr>
                <w:rFonts w:cs="宋体"/>
                <w:kern w:val="0"/>
                <w:szCs w:val="24"/>
              </w:rPr>
            </w:pPr>
            <w:r>
              <w:rPr>
                <w:rFonts w:hint="eastAsia" w:cs="宋体"/>
                <w:kern w:val="0"/>
                <w:szCs w:val="24"/>
              </w:rPr>
              <w:t>灯泡功率≤240W；整机功率≤340W，最低待机功耗≤0.5W；内置扬声器≥16W灯泡最长寿命可达≥20000小时；</w:t>
            </w:r>
          </w:p>
          <w:p w14:paraId="69B3D570">
            <w:pPr>
              <w:pStyle w:val="74"/>
              <w:widowControl/>
              <w:numPr>
                <w:ilvl w:val="0"/>
                <w:numId w:val="12"/>
              </w:numPr>
              <w:spacing w:line="240" w:lineRule="auto"/>
              <w:ind w:firstLineChars="0"/>
              <w:rPr>
                <w:rFonts w:cs="宋体"/>
                <w:kern w:val="0"/>
                <w:szCs w:val="24"/>
              </w:rPr>
            </w:pPr>
            <w:r>
              <w:rPr>
                <w:rFonts w:hint="eastAsia" w:cs="宋体"/>
                <w:kern w:val="0"/>
                <w:szCs w:val="24"/>
              </w:rPr>
              <w:t>镜头手动≥1.66倍变焦；</w:t>
            </w:r>
          </w:p>
          <w:p w14:paraId="2C38DAB9">
            <w:pPr>
              <w:pStyle w:val="74"/>
              <w:widowControl/>
              <w:numPr>
                <w:ilvl w:val="0"/>
                <w:numId w:val="12"/>
              </w:numPr>
              <w:spacing w:line="240" w:lineRule="auto"/>
              <w:ind w:firstLineChars="0"/>
              <w:rPr>
                <w:rFonts w:cs="宋体"/>
                <w:kern w:val="0"/>
                <w:szCs w:val="24"/>
              </w:rPr>
            </w:pPr>
            <w:r>
              <w:rPr>
                <w:rFonts w:hint="eastAsia" w:cs="宋体"/>
                <w:kern w:val="0"/>
                <w:szCs w:val="24"/>
              </w:rPr>
              <w:t>▲电动幕布：100寸,16:10</w:t>
            </w:r>
          </w:p>
        </w:tc>
      </w:tr>
      <w:tr w14:paraId="246BFB8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62DE361F">
            <w:pPr>
              <w:widowControl/>
              <w:spacing w:line="240" w:lineRule="auto"/>
              <w:jc w:val="center"/>
              <w:rPr>
                <w:rFonts w:hint="eastAsia" w:cs="宋体"/>
                <w:kern w:val="0"/>
              </w:rPr>
            </w:pPr>
            <w:r>
              <w:rPr>
                <w:rFonts w:hint="eastAsia" w:cs="宋体"/>
                <w:kern w:val="0"/>
              </w:rPr>
              <w:t>10</w:t>
            </w:r>
          </w:p>
        </w:tc>
        <w:tc>
          <w:tcPr>
            <w:tcW w:w="992" w:type="dxa"/>
            <w:tcBorders>
              <w:bottom w:val="single" w:color="000000" w:sz="4" w:space="0"/>
            </w:tcBorders>
            <w:shd w:val="clear" w:color="auto" w:fill="auto"/>
            <w:vAlign w:val="center"/>
          </w:tcPr>
          <w:p w14:paraId="0C342F9C">
            <w:pPr>
              <w:widowControl/>
              <w:spacing w:line="240" w:lineRule="auto"/>
              <w:jc w:val="center"/>
              <w:rPr>
                <w:rFonts w:hint="eastAsia" w:cs="宋体"/>
                <w:kern w:val="0"/>
              </w:rPr>
            </w:pPr>
            <w:r>
              <w:rPr>
                <w:rFonts w:hint="eastAsia" w:cs="宋体"/>
                <w:kern w:val="0"/>
                <w:lang w:bidi="ar"/>
              </w:rPr>
              <w:t>会议平板</w:t>
            </w:r>
          </w:p>
        </w:tc>
        <w:tc>
          <w:tcPr>
            <w:tcW w:w="851" w:type="dxa"/>
            <w:tcBorders>
              <w:bottom w:val="single" w:color="000000" w:sz="4" w:space="0"/>
            </w:tcBorders>
            <w:vAlign w:val="center"/>
          </w:tcPr>
          <w:p w14:paraId="154301F9">
            <w:pPr>
              <w:rPr>
                <w:rFonts w:hint="eastAsia"/>
              </w:rPr>
            </w:pPr>
            <w:r>
              <w:rPr>
                <w:rFonts w:hint="eastAsia"/>
              </w:rPr>
              <w:t>台</w:t>
            </w:r>
          </w:p>
        </w:tc>
        <w:tc>
          <w:tcPr>
            <w:tcW w:w="850" w:type="dxa"/>
            <w:tcBorders>
              <w:bottom w:val="single" w:color="000000" w:sz="4" w:space="0"/>
            </w:tcBorders>
            <w:vAlign w:val="center"/>
          </w:tcPr>
          <w:p w14:paraId="56B10632">
            <w:pPr>
              <w:rPr>
                <w:rFonts w:hint="eastAsia"/>
              </w:rPr>
            </w:pPr>
            <w:r>
              <w:rPr>
                <w:rFonts w:hint="eastAsia"/>
              </w:rPr>
              <w:t>3</w:t>
            </w:r>
          </w:p>
        </w:tc>
        <w:tc>
          <w:tcPr>
            <w:tcW w:w="5528" w:type="dxa"/>
            <w:tcBorders>
              <w:bottom w:val="single" w:color="000000" w:sz="4" w:space="0"/>
            </w:tcBorders>
            <w:shd w:val="clear" w:color="auto" w:fill="auto"/>
            <w:vAlign w:val="center"/>
          </w:tcPr>
          <w:p w14:paraId="113159C4">
            <w:pPr>
              <w:pStyle w:val="74"/>
              <w:widowControl/>
              <w:numPr>
                <w:ilvl w:val="0"/>
                <w:numId w:val="13"/>
              </w:numPr>
              <w:spacing w:line="240" w:lineRule="auto"/>
              <w:ind w:firstLineChars="0"/>
              <w:rPr>
                <w:rFonts w:cs="宋体"/>
                <w:kern w:val="0"/>
                <w:szCs w:val="24"/>
              </w:rPr>
            </w:pPr>
            <w:r>
              <w:rPr>
                <w:rFonts w:hint="eastAsia" w:cs="宋体"/>
                <w:kern w:val="0"/>
                <w:szCs w:val="24"/>
              </w:rPr>
              <w:t>▲整机屏幕采用≥86英寸超高清LED液晶显示屏，显示比例16:9，分辨率≥3840×2160。</w:t>
            </w:r>
          </w:p>
          <w:p w14:paraId="6DE73BF1">
            <w:pPr>
              <w:pStyle w:val="74"/>
              <w:widowControl/>
              <w:numPr>
                <w:ilvl w:val="0"/>
                <w:numId w:val="13"/>
              </w:numPr>
              <w:spacing w:line="240" w:lineRule="auto"/>
              <w:ind w:firstLineChars="0"/>
              <w:rPr>
                <w:rFonts w:cs="宋体"/>
                <w:kern w:val="0"/>
                <w:szCs w:val="24"/>
              </w:rPr>
            </w:pPr>
            <w:r>
              <w:rPr>
                <w:rFonts w:hint="eastAsia" w:cs="宋体"/>
                <w:kern w:val="0"/>
                <w:szCs w:val="24"/>
              </w:rPr>
              <w:t>整机上边框内置非独式广角摄像头和智能拼接摄像头， 采用一体化集成设计，摄像头数量≥4个。</w:t>
            </w:r>
          </w:p>
          <w:p w14:paraId="40CC8963">
            <w:pPr>
              <w:pStyle w:val="74"/>
              <w:widowControl/>
              <w:numPr>
                <w:ilvl w:val="0"/>
                <w:numId w:val="13"/>
              </w:numPr>
              <w:spacing w:line="240" w:lineRule="auto"/>
              <w:ind w:firstLineChars="0"/>
              <w:rPr>
                <w:rFonts w:cs="宋体"/>
                <w:kern w:val="0"/>
                <w:szCs w:val="24"/>
              </w:rPr>
            </w:pPr>
            <w:r>
              <w:rPr>
                <w:rFonts w:hint="eastAsia" w:cs="宋体"/>
                <w:kern w:val="0"/>
                <w:szCs w:val="24"/>
              </w:rPr>
              <w:t>▲配移动支架，含无线投屏器、手写笔</w:t>
            </w:r>
          </w:p>
          <w:p w14:paraId="017B0B57">
            <w:pPr>
              <w:pStyle w:val="74"/>
              <w:widowControl/>
              <w:numPr>
                <w:ilvl w:val="0"/>
                <w:numId w:val="13"/>
              </w:numPr>
              <w:spacing w:line="240" w:lineRule="auto"/>
              <w:ind w:firstLineChars="0"/>
              <w:rPr>
                <w:rFonts w:cs="宋体"/>
                <w:kern w:val="0"/>
                <w:szCs w:val="24"/>
              </w:rPr>
            </w:pPr>
            <w:r>
              <w:rPr>
                <w:rFonts w:hint="eastAsia" w:cs="宋体"/>
                <w:kern w:val="0"/>
                <w:szCs w:val="24"/>
              </w:rPr>
              <w:t>▲整机屏幕采用红外触控方式，支持Windows系统中进行40点或以上触控，支持Android系统中进行40点或以上触控。</w:t>
            </w:r>
          </w:p>
          <w:p w14:paraId="4B13DAD0">
            <w:pPr>
              <w:pStyle w:val="74"/>
              <w:widowControl/>
              <w:numPr>
                <w:ilvl w:val="0"/>
                <w:numId w:val="13"/>
              </w:numPr>
              <w:spacing w:line="240" w:lineRule="auto"/>
              <w:ind w:firstLineChars="0"/>
              <w:rPr>
                <w:rFonts w:cs="宋体"/>
                <w:kern w:val="0"/>
                <w:szCs w:val="24"/>
              </w:rPr>
            </w:pPr>
            <w:r>
              <w:rPr>
                <w:rFonts w:hint="eastAsia" w:cs="宋体"/>
                <w:kern w:val="0"/>
                <w:szCs w:val="24"/>
              </w:rPr>
              <w:t>从内部Android通道切换到内部PC通道后，触摸框在1s内达到可触控状态，从内部PC通道切换到外部通道后，触摸框在3s内达到可触控状态。</w:t>
            </w:r>
          </w:p>
          <w:p w14:paraId="1942C3F8">
            <w:pPr>
              <w:pStyle w:val="74"/>
              <w:widowControl/>
              <w:numPr>
                <w:ilvl w:val="0"/>
                <w:numId w:val="13"/>
              </w:numPr>
              <w:spacing w:line="240" w:lineRule="auto"/>
              <w:ind w:firstLineChars="0"/>
              <w:rPr>
                <w:rFonts w:cs="宋体"/>
                <w:kern w:val="0"/>
                <w:szCs w:val="24"/>
              </w:rPr>
            </w:pPr>
            <w:r>
              <w:rPr>
                <w:rFonts w:hint="eastAsia" w:cs="宋体"/>
                <w:kern w:val="0"/>
                <w:szCs w:val="24"/>
              </w:rPr>
              <w:t>支持Windows 7、Windows 8、Windows 10、Windows 11、Linux、Mac Os、UOS、安卓和麒麟系统外置电脑操作系统接入时，无需安装触摸驱动。</w:t>
            </w:r>
          </w:p>
          <w:p w14:paraId="66346BD0">
            <w:pPr>
              <w:pStyle w:val="74"/>
              <w:widowControl/>
              <w:numPr>
                <w:ilvl w:val="0"/>
                <w:numId w:val="13"/>
              </w:numPr>
              <w:spacing w:line="240" w:lineRule="auto"/>
              <w:ind w:firstLineChars="0"/>
              <w:rPr>
                <w:rFonts w:cs="宋体"/>
                <w:kern w:val="0"/>
                <w:szCs w:val="24"/>
              </w:rPr>
            </w:pPr>
            <w:r>
              <w:rPr>
                <w:rFonts w:hint="eastAsia" w:cs="宋体"/>
                <w:kern w:val="0"/>
                <w:szCs w:val="24"/>
              </w:rPr>
              <w:t>整机系统支持书写触控延迟≤25ms，触摸响应时间≤4ms，触摸最小识别物≤3mm，整机触控书写功能集成预测算法，在书写速度≥50cm/s，支持笔迹距离笔的距离小于20mm。</w:t>
            </w:r>
          </w:p>
          <w:p w14:paraId="3CE70BED">
            <w:pPr>
              <w:pStyle w:val="74"/>
              <w:widowControl/>
              <w:numPr>
                <w:ilvl w:val="0"/>
                <w:numId w:val="13"/>
              </w:numPr>
              <w:spacing w:line="240" w:lineRule="auto"/>
              <w:ind w:firstLineChars="0"/>
              <w:rPr>
                <w:rFonts w:cs="宋体"/>
                <w:kern w:val="0"/>
                <w:szCs w:val="24"/>
              </w:rPr>
            </w:pPr>
            <w:r>
              <w:rPr>
                <w:rFonts w:hint="eastAsia" w:cs="宋体"/>
                <w:kern w:val="0"/>
                <w:szCs w:val="24"/>
              </w:rPr>
              <w:t>▲整机支持提笔书写，在Windows系统下可实现无需点击任意功能入口，当检测到触控笔笔尖接触屏幕时，自动进入书写模式。</w:t>
            </w:r>
          </w:p>
          <w:p w14:paraId="1583F6E1">
            <w:pPr>
              <w:pStyle w:val="74"/>
              <w:widowControl/>
              <w:numPr>
                <w:ilvl w:val="0"/>
                <w:numId w:val="13"/>
              </w:numPr>
              <w:spacing w:line="240" w:lineRule="auto"/>
              <w:ind w:firstLineChars="0"/>
              <w:rPr>
                <w:rFonts w:cs="宋体"/>
                <w:kern w:val="0"/>
                <w:szCs w:val="24"/>
              </w:rPr>
            </w:pPr>
            <w:r>
              <w:rPr>
                <w:rFonts w:hint="eastAsia" w:cs="宋体"/>
                <w:kern w:val="0"/>
                <w:szCs w:val="24"/>
              </w:rPr>
              <w:t>▲整机支持色彩空间可选，包含标准模式和sRGB模式，在sRGB模式下可做到高色准△E≤1。</w:t>
            </w:r>
          </w:p>
          <w:p w14:paraId="05DF0F21">
            <w:pPr>
              <w:pStyle w:val="74"/>
              <w:widowControl/>
              <w:numPr>
                <w:ilvl w:val="0"/>
                <w:numId w:val="13"/>
              </w:numPr>
              <w:spacing w:line="240" w:lineRule="auto"/>
              <w:ind w:firstLineChars="0"/>
              <w:rPr>
                <w:rFonts w:cs="宋体"/>
                <w:kern w:val="0"/>
                <w:szCs w:val="24"/>
              </w:rPr>
            </w:pPr>
            <w:r>
              <w:rPr>
                <w:rFonts w:hint="eastAsia" w:cs="宋体"/>
                <w:kern w:val="0"/>
                <w:szCs w:val="24"/>
              </w:rPr>
              <w:t>整机采用硬件低蓝光背光技术，在源头减少有害蓝光波段能量，蓝光占比（有害蓝光415～455nm能量综合）/（整体蓝光400～500能量综合）＜50%。</w:t>
            </w:r>
          </w:p>
          <w:p w14:paraId="0AF32225">
            <w:pPr>
              <w:pStyle w:val="74"/>
              <w:widowControl/>
              <w:numPr>
                <w:ilvl w:val="0"/>
                <w:numId w:val="13"/>
              </w:numPr>
              <w:spacing w:line="240" w:lineRule="auto"/>
              <w:ind w:firstLineChars="0"/>
              <w:rPr>
                <w:rFonts w:cs="宋体"/>
                <w:kern w:val="0"/>
                <w:szCs w:val="24"/>
              </w:rPr>
            </w:pPr>
            <w:r>
              <w:rPr>
                <w:rFonts w:hint="eastAsia" w:cs="宋体"/>
                <w:kern w:val="0"/>
                <w:szCs w:val="24"/>
              </w:rPr>
              <w:t>整机视网膜蓝光危害（蓝光加权辐射亮度LB）满足IEC TR 62778:2014蓝光危害RG0级别。</w:t>
            </w:r>
          </w:p>
          <w:p w14:paraId="34A94BEC">
            <w:pPr>
              <w:pStyle w:val="74"/>
              <w:widowControl/>
              <w:numPr>
                <w:ilvl w:val="0"/>
                <w:numId w:val="13"/>
              </w:numPr>
              <w:spacing w:line="240" w:lineRule="auto"/>
              <w:ind w:firstLineChars="0"/>
              <w:rPr>
                <w:rFonts w:cs="宋体"/>
                <w:kern w:val="0"/>
                <w:szCs w:val="24"/>
              </w:rPr>
            </w:pPr>
            <w:r>
              <w:rPr>
                <w:rFonts w:hint="eastAsia" w:cs="宋体"/>
                <w:kern w:val="0"/>
                <w:szCs w:val="24"/>
              </w:rPr>
              <w:t>支持标准、多媒体和节能三种图像模式调节，支持自定义图像设置，可对对比度、屏幕色温、图像亮度、亮度范围、色彩空间调节设置。</w:t>
            </w:r>
          </w:p>
          <w:p w14:paraId="1A038036">
            <w:pPr>
              <w:pStyle w:val="74"/>
              <w:widowControl/>
              <w:numPr>
                <w:ilvl w:val="0"/>
                <w:numId w:val="13"/>
              </w:numPr>
              <w:spacing w:line="240" w:lineRule="auto"/>
              <w:ind w:firstLineChars="0"/>
              <w:rPr>
                <w:rFonts w:cs="宋体"/>
                <w:kern w:val="0"/>
                <w:szCs w:val="24"/>
              </w:rPr>
            </w:pPr>
            <w:r>
              <w:rPr>
                <w:rFonts w:hint="eastAsia" w:cs="宋体"/>
                <w:kern w:val="0"/>
                <w:szCs w:val="24"/>
              </w:rPr>
              <w:t>整机系统支持手势上滑调出人工智能画质调节模式（AI-PQ），在安卓通道下可根据屏幕内容自动调节画质参数，当屏幕出现人物、建筑、夜景等元素时，自动调整对比度、饱和度、锐利度、色调色相值、高光/阴影。</w:t>
            </w:r>
          </w:p>
          <w:p w14:paraId="1C9ABC4B">
            <w:pPr>
              <w:pStyle w:val="74"/>
              <w:widowControl/>
              <w:numPr>
                <w:ilvl w:val="0"/>
                <w:numId w:val="13"/>
              </w:numPr>
              <w:spacing w:line="240" w:lineRule="auto"/>
              <w:ind w:firstLineChars="0"/>
              <w:rPr>
                <w:rFonts w:cs="宋体"/>
                <w:kern w:val="0"/>
                <w:szCs w:val="24"/>
              </w:rPr>
            </w:pPr>
            <w:r>
              <w:rPr>
                <w:rFonts w:hint="eastAsia" w:cs="宋体"/>
                <w:kern w:val="0"/>
                <w:szCs w:val="24"/>
              </w:rPr>
              <w:t>▲整机全通道支持纸质护眼模式，可实现画面纹理的实时调整；支持纸质纹理：牛皮纸、素描纸、宣纸、水彩纸、水纹纸；支持透明度调节；支持色温调节，纸质护眼模式下，显示画面各像素点灰度不规则，减少背景干扰。</w:t>
            </w:r>
          </w:p>
          <w:p w14:paraId="700D19DC">
            <w:pPr>
              <w:pStyle w:val="74"/>
              <w:widowControl/>
              <w:numPr>
                <w:ilvl w:val="0"/>
                <w:numId w:val="13"/>
              </w:numPr>
              <w:spacing w:line="240" w:lineRule="auto"/>
              <w:ind w:firstLineChars="0"/>
              <w:rPr>
                <w:rFonts w:cs="宋体"/>
                <w:kern w:val="0"/>
                <w:szCs w:val="24"/>
              </w:rPr>
            </w:pPr>
            <w:r>
              <w:rPr>
                <w:rFonts w:hint="eastAsia" w:cs="宋体"/>
                <w:kern w:val="0"/>
                <w:szCs w:val="24"/>
              </w:rPr>
              <w:t>整机内置非独立外扩展的≥8阵列麦克风，拾音角度≥180°，可用于对环境音频进行采集，拾音距离≥12m。</w:t>
            </w:r>
          </w:p>
          <w:p w14:paraId="0C79AF77">
            <w:pPr>
              <w:pStyle w:val="74"/>
              <w:widowControl/>
              <w:numPr>
                <w:ilvl w:val="0"/>
                <w:numId w:val="13"/>
              </w:numPr>
              <w:spacing w:line="240" w:lineRule="auto"/>
              <w:ind w:firstLineChars="0"/>
              <w:rPr>
                <w:rFonts w:cs="宋体"/>
                <w:kern w:val="0"/>
                <w:szCs w:val="24"/>
              </w:rPr>
            </w:pPr>
            <w:r>
              <w:rPr>
                <w:rFonts w:hint="eastAsia" w:cs="宋体"/>
                <w:kern w:val="0"/>
                <w:szCs w:val="24"/>
              </w:rPr>
              <w:t>▲整机内置2.2声道扬声器，位于设备上边框，顶置朝前发声，扬声器≥4个内置摄像头、麦克风无需外接线材连接，无任何可见外接线材及模块化拼接痕迹，未占用整机设备端口。</w:t>
            </w:r>
          </w:p>
          <w:p w14:paraId="29D9BD19">
            <w:pPr>
              <w:pStyle w:val="74"/>
              <w:widowControl/>
              <w:numPr>
                <w:ilvl w:val="0"/>
                <w:numId w:val="13"/>
              </w:numPr>
              <w:spacing w:line="240" w:lineRule="auto"/>
              <w:ind w:firstLineChars="0"/>
              <w:rPr>
                <w:rFonts w:cs="宋体"/>
                <w:kern w:val="0"/>
                <w:szCs w:val="24"/>
              </w:rPr>
            </w:pPr>
            <w:r>
              <w:rPr>
                <w:rFonts w:hint="eastAsia" w:cs="宋体"/>
                <w:kern w:val="0"/>
                <w:szCs w:val="24"/>
              </w:rPr>
              <w:t>▲支持标准、听力、观影和AI空间感知音效模式，AI空间感知音效模式可通过内置麦克风采集物理环境声音，自动生成符合当前物理环境的频段、音量、音效。</w:t>
            </w:r>
          </w:p>
          <w:p w14:paraId="78B04FE9">
            <w:pPr>
              <w:pStyle w:val="74"/>
              <w:widowControl/>
              <w:numPr>
                <w:ilvl w:val="0"/>
                <w:numId w:val="13"/>
              </w:numPr>
              <w:spacing w:line="240" w:lineRule="auto"/>
              <w:ind w:firstLineChars="0"/>
              <w:rPr>
                <w:rFonts w:cs="宋体"/>
                <w:kern w:val="0"/>
                <w:szCs w:val="24"/>
              </w:rPr>
            </w:pPr>
            <w:r>
              <w:rPr>
                <w:rFonts w:hint="eastAsia" w:cs="宋体"/>
                <w:kern w:val="0"/>
                <w:szCs w:val="24"/>
              </w:rPr>
              <w:t>▲整机上边框内置非独立智能拼接摄像头整机上边框内置≥1个非独立式广角高清摄像头，视场角≥142度且水平视场角≥121度，支持输出4:3、16:9比例的图片和视频；在清晰度为2592 x 1944分辨率下，支持30帧以上的视频输出。</w:t>
            </w:r>
          </w:p>
          <w:p w14:paraId="2071AB0A">
            <w:pPr>
              <w:pStyle w:val="74"/>
              <w:widowControl/>
              <w:numPr>
                <w:ilvl w:val="0"/>
                <w:numId w:val="13"/>
              </w:numPr>
              <w:spacing w:line="240" w:lineRule="auto"/>
              <w:ind w:firstLineChars="0"/>
              <w:rPr>
                <w:rFonts w:cs="宋体"/>
                <w:kern w:val="0"/>
                <w:szCs w:val="24"/>
              </w:rPr>
            </w:pPr>
            <w:r>
              <w:rPr>
                <w:rFonts w:hint="eastAsia" w:cs="宋体"/>
                <w:kern w:val="0"/>
                <w:szCs w:val="24"/>
              </w:rPr>
              <w:t>整机上边框内置非独式广角摄像头和智能拼接摄像头，均支持 3D 降噪算法和数字宽动态范围成像WDR 技术，支持输出 MJPG、 H.264 视频格式。</w:t>
            </w:r>
          </w:p>
          <w:p w14:paraId="1A27404A">
            <w:pPr>
              <w:pStyle w:val="74"/>
              <w:widowControl/>
              <w:numPr>
                <w:ilvl w:val="0"/>
                <w:numId w:val="13"/>
              </w:numPr>
              <w:spacing w:line="240" w:lineRule="auto"/>
              <w:ind w:firstLineChars="0"/>
              <w:rPr>
                <w:rFonts w:cs="宋体"/>
                <w:kern w:val="0"/>
                <w:szCs w:val="24"/>
              </w:rPr>
            </w:pPr>
            <w:r>
              <w:rPr>
                <w:rFonts w:hint="eastAsia" w:cs="宋体"/>
                <w:kern w:val="0"/>
                <w:szCs w:val="24"/>
              </w:rPr>
              <w:t>整机支持距离摄像头位置≥10米距离的AI识别人脸。</w:t>
            </w:r>
          </w:p>
          <w:p w14:paraId="350B8D80">
            <w:pPr>
              <w:pStyle w:val="74"/>
              <w:widowControl/>
              <w:numPr>
                <w:ilvl w:val="0"/>
                <w:numId w:val="13"/>
              </w:numPr>
              <w:spacing w:line="240" w:lineRule="auto"/>
              <w:ind w:firstLineChars="0"/>
              <w:rPr>
                <w:rFonts w:cs="宋体"/>
                <w:kern w:val="0"/>
                <w:szCs w:val="24"/>
              </w:rPr>
            </w:pPr>
            <w:r>
              <w:rPr>
                <w:rFonts w:hint="eastAsia" w:cs="宋体"/>
                <w:kern w:val="0"/>
                <w:szCs w:val="24"/>
              </w:rPr>
              <w:t>▲整机摄像头支持人脸识别、清点人数、随机抽人；识别所有学生，显示标记，然后随机抽选，同时显示标记不少于60人。</w:t>
            </w:r>
          </w:p>
          <w:p w14:paraId="3ED1BF7B">
            <w:pPr>
              <w:pStyle w:val="74"/>
              <w:widowControl/>
              <w:numPr>
                <w:ilvl w:val="0"/>
                <w:numId w:val="13"/>
              </w:numPr>
              <w:spacing w:line="240" w:lineRule="auto"/>
              <w:ind w:firstLineChars="0"/>
              <w:rPr>
                <w:rFonts w:cs="宋体"/>
                <w:kern w:val="0"/>
                <w:szCs w:val="24"/>
              </w:rPr>
            </w:pPr>
            <w:r>
              <w:rPr>
                <w:rFonts w:hint="eastAsia" w:cs="宋体"/>
                <w:kern w:val="0"/>
                <w:szCs w:val="24"/>
              </w:rPr>
              <w:t>▲整机支持上边框内置非独立摄像头模组，同时输出至少 3 路视频流，同时支持远程巡课、教学数据采集、本地画面预览（拍照或视频录制）。</w:t>
            </w:r>
          </w:p>
          <w:p w14:paraId="4542C38A">
            <w:pPr>
              <w:pStyle w:val="74"/>
              <w:widowControl/>
              <w:numPr>
                <w:ilvl w:val="0"/>
                <w:numId w:val="13"/>
              </w:numPr>
              <w:spacing w:line="240" w:lineRule="auto"/>
              <w:ind w:firstLineChars="0"/>
              <w:rPr>
                <w:rFonts w:cs="宋体"/>
                <w:kern w:val="0"/>
                <w:szCs w:val="24"/>
              </w:rPr>
            </w:pPr>
            <w:r>
              <w:rPr>
                <w:rFonts w:hint="eastAsia" w:cs="宋体"/>
                <w:kern w:val="0"/>
                <w:szCs w:val="24"/>
              </w:rPr>
              <w:t>整机内置摄像头（非外扩），PC通道下支持通过视频展台软件调用摄像头进行二维码扫码识别，具备摄像头工作指示灯，摄像头运行时，有指示灯提示。整机支持通过人脸识别进行登录账号。</w:t>
            </w:r>
          </w:p>
          <w:p w14:paraId="50419E87">
            <w:pPr>
              <w:pStyle w:val="74"/>
              <w:widowControl/>
              <w:numPr>
                <w:ilvl w:val="0"/>
                <w:numId w:val="13"/>
              </w:numPr>
              <w:spacing w:line="240" w:lineRule="auto"/>
              <w:ind w:firstLineChars="0"/>
              <w:rPr>
                <w:rFonts w:cs="宋体"/>
                <w:kern w:val="0"/>
                <w:szCs w:val="24"/>
              </w:rPr>
            </w:pPr>
            <w:r>
              <w:rPr>
                <w:rFonts w:hint="eastAsia" w:cs="宋体"/>
                <w:kern w:val="0"/>
                <w:szCs w:val="24"/>
              </w:rPr>
              <w:t>整机摄像头支持环境色温判断，根据环境调节合适的显示图像效果。</w:t>
            </w:r>
          </w:p>
          <w:p w14:paraId="48B660D8">
            <w:pPr>
              <w:pStyle w:val="74"/>
              <w:widowControl/>
              <w:numPr>
                <w:ilvl w:val="0"/>
                <w:numId w:val="13"/>
              </w:numPr>
              <w:spacing w:line="240" w:lineRule="auto"/>
              <w:ind w:firstLineChars="0"/>
              <w:rPr>
                <w:rFonts w:cs="宋体"/>
                <w:kern w:val="0"/>
                <w:szCs w:val="24"/>
              </w:rPr>
            </w:pPr>
            <w:r>
              <w:rPr>
                <w:rFonts w:hint="eastAsia" w:cs="宋体"/>
                <w:kern w:val="0"/>
                <w:szCs w:val="24"/>
              </w:rPr>
              <w:t>整机具备三合一电源按键，同一电源物理按键完成Android系统和Windows系统的开机、节能熄屏、关机操作；关机状态下按按键开机；开机状态下按按键实现节能熄屏/唤醒，长按按键实现关机。</w:t>
            </w:r>
          </w:p>
          <w:p w14:paraId="6E0FF052">
            <w:pPr>
              <w:pStyle w:val="74"/>
              <w:widowControl/>
              <w:numPr>
                <w:ilvl w:val="0"/>
                <w:numId w:val="13"/>
              </w:numPr>
              <w:spacing w:line="240" w:lineRule="auto"/>
              <w:ind w:firstLineChars="0"/>
              <w:rPr>
                <w:rFonts w:cs="宋体"/>
                <w:kern w:val="0"/>
                <w:szCs w:val="24"/>
              </w:rPr>
            </w:pPr>
            <w:r>
              <w:rPr>
                <w:rFonts w:hint="eastAsia" w:cs="宋体"/>
                <w:kern w:val="0"/>
                <w:szCs w:val="24"/>
              </w:rPr>
              <w:t>▲整机至少支持5个自定义前置按键，“设置”、“音量-”，“音量+”，“录屏”，“护眼”按键，可通过自定义设置实现前置面板功能按键一键启用任一全局小工具（批注、截屏、计时、降半屏、放大镜、倒数日、日历）、快捷开关（节能模式、纸质护眼模式、经典护眼模式、自动亮度模式）、智能反馈。</w:t>
            </w:r>
          </w:p>
          <w:p w14:paraId="0C05A407">
            <w:pPr>
              <w:pStyle w:val="74"/>
              <w:widowControl/>
              <w:numPr>
                <w:ilvl w:val="0"/>
                <w:numId w:val="13"/>
              </w:numPr>
              <w:spacing w:line="240" w:lineRule="auto"/>
              <w:ind w:firstLineChars="0"/>
              <w:rPr>
                <w:rFonts w:cs="宋体"/>
                <w:kern w:val="0"/>
                <w:szCs w:val="24"/>
              </w:rPr>
            </w:pPr>
            <w:r>
              <w:rPr>
                <w:rFonts w:hint="eastAsia" w:cs="宋体"/>
                <w:kern w:val="0"/>
                <w:szCs w:val="24"/>
              </w:rPr>
              <w:t>整机无需外接无线网卡，在Android和Windows系统下可实现Wi-Fi无线上网连接、AP无线热点发射和BT蓝牙连接功能。在Windows系统下接入无线网络，切换到嵌入式Android系统下可直接实现无线上网功能，不需手动重复设置。</w:t>
            </w:r>
          </w:p>
          <w:p w14:paraId="228CE553">
            <w:pPr>
              <w:pStyle w:val="74"/>
              <w:widowControl/>
              <w:numPr>
                <w:ilvl w:val="0"/>
                <w:numId w:val="13"/>
              </w:numPr>
              <w:spacing w:line="240" w:lineRule="auto"/>
              <w:ind w:firstLineChars="0"/>
              <w:rPr>
                <w:rFonts w:cs="宋体"/>
                <w:kern w:val="0"/>
                <w:szCs w:val="24"/>
              </w:rPr>
            </w:pPr>
            <w:r>
              <w:rPr>
                <w:rFonts w:hint="eastAsia" w:cs="宋体"/>
                <w:kern w:val="0"/>
                <w:szCs w:val="24"/>
              </w:rPr>
              <w:t>Wi-Fi和AP热点工作距离≥12m。Wi-Fi及AP热点支持频段2.4GHz/5GHz ，Wi-Fi制式支持IEEE 802.11 a/b/g/n/ac/ax；支持版本Wi-Fi6。</w:t>
            </w:r>
          </w:p>
          <w:p w14:paraId="475001F5">
            <w:pPr>
              <w:pStyle w:val="74"/>
              <w:widowControl/>
              <w:numPr>
                <w:ilvl w:val="0"/>
                <w:numId w:val="13"/>
              </w:numPr>
              <w:spacing w:line="240" w:lineRule="auto"/>
              <w:ind w:firstLineChars="0"/>
              <w:rPr>
                <w:rFonts w:cs="宋体"/>
                <w:kern w:val="0"/>
                <w:szCs w:val="24"/>
              </w:rPr>
            </w:pPr>
            <w:r>
              <w:rPr>
                <w:rFonts w:hint="eastAsia" w:cs="宋体"/>
                <w:kern w:val="0"/>
                <w:szCs w:val="24"/>
              </w:rPr>
              <w:t>▲整机内置双WiFi6无线网卡（不接受外接），在Android下支持无线设备同时连接数量≥32个，在Windows系统下支持无线设备同时连接≥8个；</w:t>
            </w:r>
          </w:p>
          <w:p w14:paraId="48C82FE8">
            <w:pPr>
              <w:pStyle w:val="74"/>
              <w:widowControl/>
              <w:numPr>
                <w:ilvl w:val="0"/>
                <w:numId w:val="13"/>
              </w:numPr>
              <w:spacing w:line="240" w:lineRule="auto"/>
              <w:ind w:firstLineChars="0"/>
              <w:rPr>
                <w:rFonts w:cs="宋体"/>
                <w:kern w:val="0"/>
                <w:szCs w:val="24"/>
              </w:rPr>
            </w:pPr>
            <w:r>
              <w:rPr>
                <w:rFonts w:hint="eastAsia" w:cs="宋体"/>
                <w:kern w:val="0"/>
                <w:szCs w:val="24"/>
              </w:rPr>
              <w:t>▲整机至少支持蓝牙Bluetooth 5.4标准。</w:t>
            </w:r>
          </w:p>
          <w:p w14:paraId="123728DB">
            <w:pPr>
              <w:pStyle w:val="74"/>
              <w:widowControl/>
              <w:numPr>
                <w:ilvl w:val="0"/>
                <w:numId w:val="13"/>
              </w:numPr>
              <w:spacing w:line="240" w:lineRule="auto"/>
              <w:ind w:firstLineChars="0"/>
              <w:rPr>
                <w:rFonts w:cs="宋体"/>
                <w:kern w:val="0"/>
                <w:szCs w:val="24"/>
              </w:rPr>
            </w:pPr>
            <w:r>
              <w:rPr>
                <w:rFonts w:hint="eastAsia" w:cs="宋体"/>
                <w:kern w:val="0"/>
                <w:szCs w:val="24"/>
              </w:rPr>
              <w:t>▲智能手机通过麦克风接收后，智能手机与整机无需在同一局域网内，可实现配对，一键投屏，用户无需手动输入投屏码或扫码获取投屏码；</w:t>
            </w:r>
          </w:p>
          <w:p w14:paraId="4F9C10A7">
            <w:pPr>
              <w:pStyle w:val="74"/>
              <w:widowControl/>
              <w:numPr>
                <w:ilvl w:val="0"/>
                <w:numId w:val="13"/>
              </w:numPr>
              <w:spacing w:line="240" w:lineRule="auto"/>
              <w:ind w:firstLineChars="0"/>
              <w:rPr>
                <w:rFonts w:cs="宋体"/>
                <w:kern w:val="0"/>
                <w:szCs w:val="24"/>
              </w:rPr>
            </w:pPr>
            <w:r>
              <w:rPr>
                <w:rFonts w:hint="eastAsia" w:cs="宋体"/>
                <w:kern w:val="0"/>
                <w:szCs w:val="24"/>
              </w:rPr>
              <w:t>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p w14:paraId="142B3113">
            <w:pPr>
              <w:pStyle w:val="74"/>
              <w:widowControl/>
              <w:numPr>
                <w:ilvl w:val="0"/>
                <w:numId w:val="13"/>
              </w:numPr>
              <w:spacing w:line="240" w:lineRule="auto"/>
              <w:ind w:firstLineChars="0"/>
              <w:rPr>
                <w:rFonts w:cs="宋体"/>
                <w:kern w:val="0"/>
                <w:szCs w:val="24"/>
              </w:rPr>
            </w:pPr>
            <w:r>
              <w:rPr>
                <w:rFonts w:hint="eastAsia" w:cs="宋体"/>
                <w:kern w:val="0"/>
                <w:szCs w:val="24"/>
              </w:rPr>
              <w:t>整机PC端支持主动发现蓝牙外设从而连接（无需整机进入发现模式），支持连接外部蓝牙音箱播放音频。</w:t>
            </w:r>
          </w:p>
          <w:p w14:paraId="39FF7031">
            <w:pPr>
              <w:pStyle w:val="74"/>
              <w:widowControl/>
              <w:numPr>
                <w:ilvl w:val="0"/>
                <w:numId w:val="13"/>
              </w:numPr>
              <w:spacing w:line="240" w:lineRule="auto"/>
              <w:ind w:firstLineChars="0"/>
              <w:rPr>
                <w:rFonts w:cs="宋体"/>
                <w:kern w:val="0"/>
                <w:szCs w:val="24"/>
              </w:rPr>
            </w:pPr>
            <w:r>
              <w:rPr>
                <w:rFonts w:hint="eastAsia" w:cs="宋体"/>
                <w:kern w:val="0"/>
                <w:szCs w:val="24"/>
              </w:rPr>
              <w:t>搭载Intel酷睿系列i5 CPU或以上配置，8GB DDR4笔记本内存或以上配置，256GB或以上SSD固态硬盘。</w:t>
            </w:r>
          </w:p>
          <w:p w14:paraId="7740685C">
            <w:pPr>
              <w:pStyle w:val="74"/>
              <w:widowControl/>
              <w:numPr>
                <w:ilvl w:val="0"/>
                <w:numId w:val="13"/>
              </w:numPr>
              <w:spacing w:line="240" w:lineRule="auto"/>
              <w:ind w:firstLineChars="0"/>
              <w:rPr>
                <w:rFonts w:cs="宋体"/>
                <w:kern w:val="0"/>
                <w:szCs w:val="24"/>
              </w:rPr>
            </w:pPr>
            <w:r>
              <w:rPr>
                <w:rFonts w:hint="eastAsia" w:cs="宋体"/>
                <w:kern w:val="0"/>
                <w:szCs w:val="24"/>
              </w:rPr>
              <w:t>采用按压式卡扣，无需工具就可快速拆卸电脑模块，具有标准 PC 防盗锁孔，确保电脑模块安全防盗。</w:t>
            </w:r>
          </w:p>
          <w:p w14:paraId="309C8EA3">
            <w:pPr>
              <w:pStyle w:val="74"/>
              <w:widowControl/>
              <w:numPr>
                <w:ilvl w:val="0"/>
                <w:numId w:val="13"/>
              </w:numPr>
              <w:spacing w:line="240" w:lineRule="auto"/>
              <w:ind w:firstLineChars="0"/>
              <w:rPr>
                <w:rFonts w:cs="宋体"/>
                <w:kern w:val="0"/>
                <w:szCs w:val="24"/>
              </w:rPr>
            </w:pPr>
            <w:r>
              <w:rPr>
                <w:rFonts w:hint="eastAsia" w:cs="宋体"/>
                <w:kern w:val="0"/>
                <w:szCs w:val="24"/>
              </w:rPr>
              <w:t>▲为确保功能的真实性和有效性，在签订合同后正式供货时，业主有权要求供应商提供与标书技术要求及功能符合的设备一套，与标书文件进行所有性能的核对，作为项目验收的依据，如出现所提供设备不符合招标要求，即视为虚假响应处理并依法追究责任。</w:t>
            </w:r>
          </w:p>
          <w:p w14:paraId="7C477AA8">
            <w:pPr>
              <w:pStyle w:val="74"/>
              <w:widowControl/>
              <w:numPr>
                <w:ilvl w:val="0"/>
                <w:numId w:val="13"/>
              </w:numPr>
              <w:spacing w:line="240" w:lineRule="auto"/>
              <w:ind w:firstLineChars="0"/>
              <w:rPr>
                <w:rFonts w:cs="宋体"/>
                <w:kern w:val="0"/>
                <w:szCs w:val="24"/>
              </w:rPr>
            </w:pPr>
            <w:r>
              <w:rPr>
                <w:rFonts w:hint="eastAsia" w:cs="宋体"/>
                <w:kern w:val="0"/>
                <w:szCs w:val="24"/>
              </w:rPr>
              <w:t>▲为确保所供应货物为全新且含质保产品，在签订合同后正式供货时，成交供应商须提供制造厂商针对此项目的供货证明、售后服务承诺函，且均须加盖制造厂商公章</w:t>
            </w:r>
          </w:p>
        </w:tc>
      </w:tr>
      <w:tr w14:paraId="30A94C6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74C4D8EF">
            <w:pPr>
              <w:widowControl/>
              <w:spacing w:line="240" w:lineRule="auto"/>
              <w:jc w:val="center"/>
              <w:rPr>
                <w:rFonts w:hint="eastAsia" w:cs="宋体"/>
                <w:kern w:val="0"/>
              </w:rPr>
            </w:pPr>
            <w:r>
              <w:rPr>
                <w:rFonts w:hint="eastAsia" w:cs="宋体"/>
                <w:kern w:val="0"/>
              </w:rPr>
              <w:t>11</w:t>
            </w:r>
          </w:p>
        </w:tc>
        <w:tc>
          <w:tcPr>
            <w:tcW w:w="992" w:type="dxa"/>
            <w:tcBorders>
              <w:bottom w:val="single" w:color="000000" w:sz="4" w:space="0"/>
            </w:tcBorders>
            <w:shd w:val="clear" w:color="auto" w:fill="auto"/>
            <w:vAlign w:val="center"/>
          </w:tcPr>
          <w:p w14:paraId="340D3B96">
            <w:pPr>
              <w:widowControl/>
              <w:spacing w:line="240" w:lineRule="auto"/>
              <w:jc w:val="center"/>
              <w:rPr>
                <w:rFonts w:hint="eastAsia" w:cs="宋体"/>
                <w:kern w:val="0"/>
              </w:rPr>
            </w:pPr>
            <w:r>
              <w:rPr>
                <w:rFonts w:hint="eastAsia" w:cs="宋体"/>
                <w:kern w:val="0"/>
                <w:lang w:bidi="ar"/>
              </w:rPr>
              <w:t>分诊小屏</w:t>
            </w:r>
          </w:p>
        </w:tc>
        <w:tc>
          <w:tcPr>
            <w:tcW w:w="851" w:type="dxa"/>
            <w:tcBorders>
              <w:bottom w:val="single" w:color="000000" w:sz="4" w:space="0"/>
            </w:tcBorders>
            <w:vAlign w:val="center"/>
          </w:tcPr>
          <w:p w14:paraId="2B079C6F">
            <w:pPr>
              <w:rPr>
                <w:rFonts w:hint="eastAsia"/>
              </w:rPr>
            </w:pPr>
            <w:r>
              <w:rPr>
                <w:rFonts w:hint="eastAsia"/>
              </w:rPr>
              <w:t>台</w:t>
            </w:r>
          </w:p>
        </w:tc>
        <w:tc>
          <w:tcPr>
            <w:tcW w:w="850" w:type="dxa"/>
            <w:tcBorders>
              <w:bottom w:val="single" w:color="000000" w:sz="4" w:space="0"/>
            </w:tcBorders>
            <w:vAlign w:val="center"/>
          </w:tcPr>
          <w:p w14:paraId="5BECC0D3">
            <w:pPr>
              <w:rPr>
                <w:rFonts w:hint="eastAsia"/>
              </w:rPr>
            </w:pPr>
            <w:r>
              <w:rPr>
                <w:rFonts w:hint="eastAsia"/>
              </w:rPr>
              <w:t>20</w:t>
            </w:r>
          </w:p>
        </w:tc>
        <w:tc>
          <w:tcPr>
            <w:tcW w:w="5528" w:type="dxa"/>
            <w:tcBorders>
              <w:bottom w:val="single" w:color="000000" w:sz="4" w:space="0"/>
            </w:tcBorders>
            <w:shd w:val="clear" w:color="auto" w:fill="auto"/>
            <w:vAlign w:val="center"/>
          </w:tcPr>
          <w:p w14:paraId="5D749BCE">
            <w:pPr>
              <w:pStyle w:val="74"/>
              <w:widowControl/>
              <w:numPr>
                <w:ilvl w:val="0"/>
                <w:numId w:val="14"/>
              </w:numPr>
              <w:spacing w:line="240" w:lineRule="auto"/>
              <w:ind w:firstLineChars="0"/>
              <w:rPr>
                <w:rFonts w:cs="宋体"/>
                <w:kern w:val="0"/>
                <w:szCs w:val="24"/>
              </w:rPr>
            </w:pPr>
            <w:r>
              <w:rPr>
                <w:rFonts w:hint="eastAsia" w:cs="宋体"/>
                <w:kern w:val="0"/>
                <w:szCs w:val="24"/>
              </w:rPr>
              <w:t>21.5英寸液晶显示器，分辨率≥1920*1080（1080P） ，显示比例 16:9。</w:t>
            </w:r>
          </w:p>
          <w:p w14:paraId="277F368E">
            <w:pPr>
              <w:pStyle w:val="74"/>
              <w:widowControl/>
              <w:numPr>
                <w:ilvl w:val="0"/>
                <w:numId w:val="14"/>
              </w:numPr>
              <w:spacing w:line="240" w:lineRule="auto"/>
              <w:ind w:firstLineChars="0"/>
              <w:rPr>
                <w:rFonts w:cs="宋体"/>
                <w:kern w:val="0"/>
                <w:szCs w:val="24"/>
              </w:rPr>
            </w:pPr>
            <w:r>
              <w:rPr>
                <w:rFonts w:hint="eastAsia" w:cs="宋体"/>
                <w:kern w:val="0"/>
                <w:szCs w:val="24"/>
              </w:rPr>
              <w:t>CPU:性能≥4 核 CortexA17，主频≥1.6GHZ</w:t>
            </w:r>
          </w:p>
          <w:p w14:paraId="25C5705D">
            <w:pPr>
              <w:pStyle w:val="74"/>
              <w:widowControl/>
              <w:numPr>
                <w:ilvl w:val="0"/>
                <w:numId w:val="14"/>
              </w:numPr>
              <w:spacing w:line="240" w:lineRule="auto"/>
              <w:ind w:firstLineChars="0"/>
              <w:rPr>
                <w:rFonts w:cs="宋体"/>
                <w:kern w:val="0"/>
                <w:szCs w:val="24"/>
              </w:rPr>
            </w:pPr>
            <w:r>
              <w:rPr>
                <w:rFonts w:hint="eastAsia" w:cs="宋体"/>
                <w:kern w:val="0"/>
                <w:szCs w:val="24"/>
              </w:rPr>
              <w:t>存储参数：运行内存≥2G，内置存储≥16G</w:t>
            </w:r>
          </w:p>
          <w:p w14:paraId="174C2F5B">
            <w:pPr>
              <w:pStyle w:val="74"/>
              <w:widowControl/>
              <w:numPr>
                <w:ilvl w:val="0"/>
                <w:numId w:val="14"/>
              </w:numPr>
              <w:spacing w:line="240" w:lineRule="auto"/>
              <w:ind w:firstLineChars="0"/>
              <w:rPr>
                <w:rFonts w:cs="宋体"/>
                <w:kern w:val="0"/>
                <w:szCs w:val="24"/>
              </w:rPr>
            </w:pPr>
            <w:r>
              <w:rPr>
                <w:rFonts w:hint="eastAsia" w:cs="宋体"/>
                <w:kern w:val="0"/>
                <w:szCs w:val="24"/>
              </w:rPr>
              <w:t>接口：包括但不限于LAN×1，USB2.0×2 ，AUDIO IN ×1，AUDIO OUT×1，HDMI×1</w:t>
            </w:r>
          </w:p>
          <w:p w14:paraId="2A19B8E0">
            <w:pPr>
              <w:pStyle w:val="74"/>
              <w:widowControl/>
              <w:numPr>
                <w:ilvl w:val="0"/>
                <w:numId w:val="14"/>
              </w:numPr>
              <w:spacing w:line="240" w:lineRule="auto"/>
              <w:ind w:firstLineChars="0"/>
              <w:rPr>
                <w:rFonts w:cs="宋体"/>
                <w:kern w:val="0"/>
                <w:szCs w:val="24"/>
              </w:rPr>
            </w:pPr>
            <w:r>
              <w:rPr>
                <w:rFonts w:hint="eastAsia" w:cs="宋体"/>
                <w:kern w:val="0"/>
                <w:szCs w:val="24"/>
              </w:rPr>
              <w:t>系统：Android 8.1.0以上</w:t>
            </w:r>
          </w:p>
          <w:p w14:paraId="1BE4E593">
            <w:pPr>
              <w:pStyle w:val="74"/>
              <w:widowControl/>
              <w:numPr>
                <w:ilvl w:val="0"/>
                <w:numId w:val="14"/>
              </w:numPr>
              <w:spacing w:line="240" w:lineRule="auto"/>
              <w:ind w:firstLineChars="0"/>
              <w:rPr>
                <w:rFonts w:cs="宋体"/>
                <w:kern w:val="0"/>
                <w:szCs w:val="24"/>
              </w:rPr>
            </w:pPr>
            <w:r>
              <w:rPr>
                <w:rFonts w:hint="eastAsia" w:cs="宋体"/>
                <w:kern w:val="0"/>
                <w:szCs w:val="24"/>
              </w:rPr>
              <w:t>内置至少两个高音喇叭</w:t>
            </w:r>
          </w:p>
          <w:p w14:paraId="070F79BC">
            <w:pPr>
              <w:pStyle w:val="74"/>
              <w:widowControl/>
              <w:numPr>
                <w:ilvl w:val="0"/>
                <w:numId w:val="14"/>
              </w:numPr>
              <w:spacing w:line="240" w:lineRule="auto"/>
              <w:ind w:firstLineChars="0"/>
              <w:rPr>
                <w:rFonts w:cs="宋体"/>
                <w:kern w:val="0"/>
                <w:szCs w:val="24"/>
              </w:rPr>
            </w:pPr>
            <w:r>
              <w:rPr>
                <w:rFonts w:hint="eastAsia" w:cs="宋体"/>
                <w:kern w:val="0"/>
                <w:szCs w:val="24"/>
              </w:rPr>
              <w:t>支持 0°、90°、180°270°旋转屏幕显示</w:t>
            </w:r>
          </w:p>
          <w:p w14:paraId="24E91DB1">
            <w:pPr>
              <w:pStyle w:val="74"/>
              <w:widowControl/>
              <w:numPr>
                <w:ilvl w:val="0"/>
                <w:numId w:val="14"/>
              </w:numPr>
              <w:spacing w:line="240" w:lineRule="auto"/>
              <w:ind w:firstLineChars="0"/>
              <w:rPr>
                <w:rFonts w:cs="宋体"/>
                <w:kern w:val="0"/>
                <w:szCs w:val="24"/>
              </w:rPr>
            </w:pPr>
            <w:r>
              <w:rPr>
                <w:rFonts w:hint="eastAsia" w:cs="宋体"/>
                <w:kern w:val="0"/>
                <w:szCs w:val="24"/>
              </w:rPr>
              <w:t>网络：有线、WIFI</w:t>
            </w:r>
          </w:p>
          <w:p w14:paraId="762C62DF">
            <w:pPr>
              <w:pStyle w:val="74"/>
              <w:widowControl/>
              <w:numPr>
                <w:ilvl w:val="0"/>
                <w:numId w:val="14"/>
              </w:numPr>
              <w:spacing w:line="240" w:lineRule="auto"/>
              <w:ind w:firstLineChars="0"/>
              <w:rPr>
                <w:rFonts w:cs="宋体"/>
                <w:kern w:val="0"/>
                <w:szCs w:val="24"/>
              </w:rPr>
            </w:pPr>
            <w:r>
              <w:rPr>
                <w:rFonts w:hint="eastAsia" w:cs="宋体"/>
                <w:kern w:val="0"/>
                <w:szCs w:val="24"/>
              </w:rPr>
              <w:t>防水等级：≥IP20</w:t>
            </w:r>
          </w:p>
          <w:p w14:paraId="375A210A">
            <w:pPr>
              <w:pStyle w:val="74"/>
              <w:widowControl/>
              <w:numPr>
                <w:ilvl w:val="0"/>
                <w:numId w:val="14"/>
              </w:numPr>
              <w:spacing w:line="240" w:lineRule="auto"/>
              <w:ind w:firstLineChars="0"/>
              <w:rPr>
                <w:rFonts w:cs="宋体"/>
                <w:kern w:val="0"/>
                <w:szCs w:val="24"/>
              </w:rPr>
            </w:pPr>
            <w:r>
              <w:rPr>
                <w:rFonts w:hint="eastAsia" w:cs="宋体"/>
                <w:kern w:val="0"/>
                <w:szCs w:val="24"/>
              </w:rPr>
              <w:t>工作电压：AC 220V 60HZ</w:t>
            </w:r>
          </w:p>
          <w:p w14:paraId="1CA1A4AE">
            <w:pPr>
              <w:pStyle w:val="74"/>
              <w:widowControl/>
              <w:numPr>
                <w:ilvl w:val="0"/>
                <w:numId w:val="14"/>
              </w:numPr>
              <w:spacing w:line="240" w:lineRule="auto"/>
              <w:ind w:firstLineChars="0"/>
              <w:rPr>
                <w:rFonts w:cs="宋体"/>
                <w:kern w:val="0"/>
                <w:szCs w:val="24"/>
              </w:rPr>
            </w:pPr>
            <w:r>
              <w:rPr>
                <w:rFonts w:hint="eastAsia" w:cs="宋体"/>
                <w:kern w:val="0"/>
                <w:szCs w:val="24"/>
              </w:rPr>
              <w:t>产品尺寸：513.4*310*43.8mm（±3mm）</w:t>
            </w:r>
          </w:p>
        </w:tc>
      </w:tr>
      <w:tr w14:paraId="4498379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27FB6ABD">
            <w:pPr>
              <w:widowControl/>
              <w:spacing w:line="240" w:lineRule="auto"/>
              <w:jc w:val="center"/>
              <w:rPr>
                <w:rFonts w:hint="eastAsia" w:cs="宋体"/>
                <w:kern w:val="0"/>
              </w:rPr>
            </w:pPr>
            <w:r>
              <w:rPr>
                <w:rFonts w:hint="eastAsia" w:cs="宋体"/>
                <w:kern w:val="0"/>
              </w:rPr>
              <w:t>12</w:t>
            </w:r>
          </w:p>
        </w:tc>
        <w:tc>
          <w:tcPr>
            <w:tcW w:w="992" w:type="dxa"/>
            <w:tcBorders>
              <w:bottom w:val="single" w:color="000000" w:sz="4" w:space="0"/>
            </w:tcBorders>
            <w:shd w:val="clear" w:color="auto" w:fill="auto"/>
            <w:vAlign w:val="center"/>
          </w:tcPr>
          <w:p w14:paraId="3F39F435">
            <w:pPr>
              <w:widowControl/>
              <w:spacing w:line="240" w:lineRule="auto"/>
              <w:jc w:val="center"/>
              <w:rPr>
                <w:rFonts w:hint="eastAsia" w:cs="宋体"/>
                <w:kern w:val="0"/>
                <w:lang w:bidi="ar"/>
              </w:rPr>
            </w:pPr>
            <w:r>
              <w:rPr>
                <w:rFonts w:hint="eastAsia" w:cs="宋体"/>
                <w:kern w:val="0"/>
                <w:lang w:bidi="ar"/>
              </w:rPr>
              <w:t>全彩LED显示屏</w:t>
            </w:r>
          </w:p>
        </w:tc>
        <w:tc>
          <w:tcPr>
            <w:tcW w:w="851" w:type="dxa"/>
            <w:tcBorders>
              <w:bottom w:val="single" w:color="000000" w:sz="4" w:space="0"/>
            </w:tcBorders>
            <w:vAlign w:val="center"/>
          </w:tcPr>
          <w:p w14:paraId="54B9A795">
            <w:pPr>
              <w:rPr>
                <w:rFonts w:hint="eastAsia"/>
              </w:rPr>
            </w:pPr>
            <w:r>
              <w:rPr>
                <w:rFonts w:hint="eastAsia"/>
              </w:rPr>
              <w:t>套</w:t>
            </w:r>
          </w:p>
        </w:tc>
        <w:tc>
          <w:tcPr>
            <w:tcW w:w="850" w:type="dxa"/>
            <w:tcBorders>
              <w:bottom w:val="single" w:color="000000" w:sz="4" w:space="0"/>
            </w:tcBorders>
            <w:vAlign w:val="center"/>
          </w:tcPr>
          <w:p w14:paraId="672BA4BC">
            <w:pPr>
              <w:rPr>
                <w:rFonts w:hint="eastAsia"/>
              </w:rPr>
            </w:pPr>
            <w:r>
              <w:rPr>
                <w:rFonts w:hint="eastAsia"/>
              </w:rPr>
              <w:t>1</w:t>
            </w:r>
          </w:p>
        </w:tc>
        <w:tc>
          <w:tcPr>
            <w:tcW w:w="5528" w:type="dxa"/>
            <w:tcBorders>
              <w:bottom w:val="single" w:color="000000" w:sz="4" w:space="0"/>
            </w:tcBorders>
            <w:shd w:val="clear" w:color="auto" w:fill="auto"/>
            <w:vAlign w:val="center"/>
          </w:tcPr>
          <w:p w14:paraId="7C98FBA0">
            <w:pPr>
              <w:widowControl/>
              <w:spacing w:line="240" w:lineRule="auto"/>
              <w:rPr>
                <w:rFonts w:hint="eastAsia" w:cs="宋体"/>
                <w:kern w:val="0"/>
              </w:rPr>
            </w:pPr>
          </w:p>
        </w:tc>
      </w:tr>
      <w:tr w14:paraId="3F53A92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2DA14B06">
            <w:pPr>
              <w:widowControl/>
              <w:spacing w:line="240" w:lineRule="auto"/>
              <w:jc w:val="center"/>
              <w:rPr>
                <w:rFonts w:hint="eastAsia" w:cs="宋体"/>
                <w:kern w:val="0"/>
              </w:rPr>
            </w:pPr>
            <w:r>
              <w:rPr>
                <w:rFonts w:hint="eastAsia" w:cs="宋体"/>
                <w:kern w:val="0"/>
              </w:rPr>
              <w:t>12.1</w:t>
            </w:r>
          </w:p>
        </w:tc>
        <w:tc>
          <w:tcPr>
            <w:tcW w:w="992" w:type="dxa"/>
            <w:tcBorders>
              <w:bottom w:val="single" w:color="000000" w:sz="4" w:space="0"/>
            </w:tcBorders>
            <w:shd w:val="clear" w:color="auto" w:fill="auto"/>
            <w:vAlign w:val="center"/>
          </w:tcPr>
          <w:p w14:paraId="25A6D911">
            <w:pPr>
              <w:widowControl/>
              <w:spacing w:line="240" w:lineRule="auto"/>
              <w:jc w:val="center"/>
              <w:rPr>
                <w:rFonts w:hint="eastAsia" w:cs="宋体"/>
                <w:kern w:val="0"/>
              </w:rPr>
            </w:pPr>
            <w:r>
              <w:rPr>
                <w:rFonts w:hint="eastAsia"/>
                <w:szCs w:val="21"/>
              </w:rPr>
              <w:t>LED显示屏</w:t>
            </w:r>
          </w:p>
        </w:tc>
        <w:tc>
          <w:tcPr>
            <w:tcW w:w="851" w:type="dxa"/>
            <w:tcBorders>
              <w:bottom w:val="single" w:color="000000" w:sz="4" w:space="0"/>
            </w:tcBorders>
            <w:vAlign w:val="center"/>
          </w:tcPr>
          <w:p w14:paraId="1001CB53">
            <w:pPr>
              <w:rPr>
                <w:rFonts w:hint="eastAsia"/>
              </w:rPr>
            </w:pPr>
            <w:r>
              <w:rPr>
                <w:rFonts w:hint="eastAsia"/>
              </w:rPr>
              <w:t>㎡</w:t>
            </w:r>
          </w:p>
        </w:tc>
        <w:tc>
          <w:tcPr>
            <w:tcW w:w="850" w:type="dxa"/>
            <w:tcBorders>
              <w:bottom w:val="single" w:color="000000" w:sz="4" w:space="0"/>
            </w:tcBorders>
            <w:vAlign w:val="center"/>
          </w:tcPr>
          <w:p w14:paraId="117D2CC7">
            <w:pPr>
              <w:rPr>
                <w:rFonts w:hint="eastAsia"/>
              </w:rPr>
            </w:pPr>
            <w:r>
              <w:rPr>
                <w:rFonts w:hint="eastAsia"/>
              </w:rPr>
              <w:t>15.36</w:t>
            </w:r>
          </w:p>
        </w:tc>
        <w:tc>
          <w:tcPr>
            <w:tcW w:w="5528" w:type="dxa"/>
            <w:tcBorders>
              <w:bottom w:val="single" w:color="000000" w:sz="4" w:space="0"/>
            </w:tcBorders>
            <w:shd w:val="clear" w:color="auto" w:fill="auto"/>
            <w:vAlign w:val="center"/>
          </w:tcPr>
          <w:p w14:paraId="0DE6080F">
            <w:pPr>
              <w:pStyle w:val="74"/>
              <w:widowControl/>
              <w:numPr>
                <w:ilvl w:val="0"/>
                <w:numId w:val="15"/>
              </w:numPr>
              <w:spacing w:line="240" w:lineRule="auto"/>
              <w:ind w:firstLineChars="0"/>
              <w:rPr>
                <w:rFonts w:cs="宋体"/>
                <w:kern w:val="0"/>
                <w:szCs w:val="24"/>
              </w:rPr>
            </w:pPr>
            <w:r>
              <w:rPr>
                <w:rFonts w:hint="eastAsia" w:cs="宋体"/>
                <w:kern w:val="0"/>
                <w:szCs w:val="24"/>
              </w:rPr>
              <w:t>显示尺寸：6.4m(宽)*2.4m(高)=15.36㎡（根据实际用地定制尺寸）；</w:t>
            </w:r>
          </w:p>
          <w:p w14:paraId="462DFD92">
            <w:pPr>
              <w:pStyle w:val="74"/>
              <w:widowControl/>
              <w:numPr>
                <w:ilvl w:val="0"/>
                <w:numId w:val="15"/>
              </w:numPr>
              <w:spacing w:line="240" w:lineRule="auto"/>
              <w:ind w:firstLineChars="0"/>
              <w:rPr>
                <w:rFonts w:cs="宋体"/>
                <w:kern w:val="0"/>
                <w:szCs w:val="24"/>
              </w:rPr>
            </w:pPr>
            <w:r>
              <w:rPr>
                <w:rFonts w:hint="eastAsia" w:cs="宋体"/>
                <w:kern w:val="0"/>
                <w:szCs w:val="24"/>
              </w:rPr>
              <w:t>室内表贴三合一全彩色高清LED显示屏，像素密度≥288906点/㎡；</w:t>
            </w:r>
          </w:p>
          <w:p w14:paraId="46C20FB9">
            <w:pPr>
              <w:pStyle w:val="74"/>
              <w:widowControl/>
              <w:numPr>
                <w:ilvl w:val="0"/>
                <w:numId w:val="15"/>
              </w:numPr>
              <w:spacing w:line="240" w:lineRule="auto"/>
              <w:ind w:firstLineChars="0"/>
              <w:rPr>
                <w:rFonts w:cs="宋体"/>
                <w:kern w:val="0"/>
                <w:szCs w:val="24"/>
              </w:rPr>
            </w:pPr>
            <w:r>
              <w:rPr>
                <w:rFonts w:hint="eastAsia" w:cs="宋体"/>
                <w:kern w:val="0"/>
                <w:szCs w:val="24"/>
              </w:rPr>
              <w:t>像素间距：≤1.86mm；</w:t>
            </w:r>
          </w:p>
          <w:p w14:paraId="65B64EC3">
            <w:pPr>
              <w:pStyle w:val="74"/>
              <w:widowControl/>
              <w:numPr>
                <w:ilvl w:val="0"/>
                <w:numId w:val="15"/>
              </w:numPr>
              <w:spacing w:line="240" w:lineRule="auto"/>
              <w:ind w:firstLineChars="0"/>
              <w:rPr>
                <w:rFonts w:cs="宋体"/>
                <w:kern w:val="0"/>
                <w:szCs w:val="24"/>
              </w:rPr>
            </w:pPr>
            <w:r>
              <w:rPr>
                <w:rFonts w:hint="eastAsia" w:cs="宋体"/>
                <w:kern w:val="0"/>
                <w:szCs w:val="24"/>
              </w:rPr>
              <w:t>▲封装方式：GOB封装，每颗像素点由1R1G1B组式，每个像素点之间红绿蓝发光芯片不存在复用。</w:t>
            </w:r>
          </w:p>
          <w:p w14:paraId="462F228D">
            <w:pPr>
              <w:pStyle w:val="74"/>
              <w:widowControl/>
              <w:numPr>
                <w:ilvl w:val="0"/>
                <w:numId w:val="15"/>
              </w:numPr>
              <w:spacing w:line="240" w:lineRule="auto"/>
              <w:ind w:firstLineChars="0"/>
              <w:rPr>
                <w:rFonts w:cs="宋体"/>
                <w:kern w:val="0"/>
                <w:szCs w:val="24"/>
              </w:rPr>
            </w:pPr>
            <w:r>
              <w:rPr>
                <w:rFonts w:hint="eastAsia" w:cs="宋体"/>
                <w:kern w:val="0"/>
                <w:szCs w:val="24"/>
              </w:rPr>
              <w:t>亮度（nit）：≥800cd/㎡；</w:t>
            </w:r>
          </w:p>
          <w:p w14:paraId="2FC5543C">
            <w:pPr>
              <w:pStyle w:val="74"/>
              <w:widowControl/>
              <w:numPr>
                <w:ilvl w:val="0"/>
                <w:numId w:val="15"/>
              </w:numPr>
              <w:spacing w:line="240" w:lineRule="auto"/>
              <w:ind w:firstLineChars="0"/>
              <w:rPr>
                <w:rFonts w:cs="宋体"/>
                <w:kern w:val="0"/>
                <w:szCs w:val="24"/>
              </w:rPr>
            </w:pPr>
            <w:r>
              <w:rPr>
                <w:rFonts w:hint="eastAsia" w:cs="宋体"/>
                <w:kern w:val="0"/>
                <w:szCs w:val="24"/>
              </w:rPr>
              <w:t>水平视角：≥160度；垂直视角：≥160度；</w:t>
            </w:r>
          </w:p>
          <w:p w14:paraId="4261E66D">
            <w:pPr>
              <w:pStyle w:val="74"/>
              <w:widowControl/>
              <w:numPr>
                <w:ilvl w:val="0"/>
                <w:numId w:val="15"/>
              </w:numPr>
              <w:spacing w:line="240" w:lineRule="auto"/>
              <w:ind w:firstLineChars="0"/>
              <w:rPr>
                <w:rFonts w:cs="宋体"/>
                <w:kern w:val="0"/>
                <w:szCs w:val="24"/>
              </w:rPr>
            </w:pPr>
            <w:r>
              <w:rPr>
                <w:rFonts w:hint="eastAsia" w:cs="宋体"/>
                <w:kern w:val="0"/>
                <w:szCs w:val="24"/>
              </w:rPr>
              <w:t>亮度均匀性：≥99%；</w:t>
            </w:r>
          </w:p>
          <w:p w14:paraId="70412FF1">
            <w:pPr>
              <w:pStyle w:val="74"/>
              <w:widowControl/>
              <w:numPr>
                <w:ilvl w:val="0"/>
                <w:numId w:val="15"/>
              </w:numPr>
              <w:spacing w:line="240" w:lineRule="auto"/>
              <w:ind w:firstLineChars="0"/>
              <w:rPr>
                <w:rFonts w:cs="宋体"/>
                <w:kern w:val="0"/>
                <w:szCs w:val="24"/>
              </w:rPr>
            </w:pPr>
            <w:r>
              <w:rPr>
                <w:rFonts w:hint="eastAsia" w:cs="宋体"/>
                <w:kern w:val="0"/>
                <w:szCs w:val="24"/>
              </w:rPr>
              <w:t>刷新率（Hz）：≥3840Hz；</w:t>
            </w:r>
          </w:p>
          <w:p w14:paraId="7D98DD03">
            <w:pPr>
              <w:pStyle w:val="74"/>
              <w:widowControl/>
              <w:numPr>
                <w:ilvl w:val="0"/>
                <w:numId w:val="15"/>
              </w:numPr>
              <w:spacing w:line="240" w:lineRule="auto"/>
              <w:ind w:firstLineChars="0"/>
              <w:rPr>
                <w:rFonts w:cs="宋体"/>
                <w:kern w:val="0"/>
                <w:szCs w:val="24"/>
              </w:rPr>
            </w:pPr>
            <w:r>
              <w:rPr>
                <w:rFonts w:hint="eastAsia" w:cs="宋体"/>
                <w:kern w:val="0"/>
                <w:szCs w:val="24"/>
              </w:rPr>
              <w:t>供电要求：AC 100～240V（50/60Hz）；</w:t>
            </w:r>
          </w:p>
          <w:p w14:paraId="6CBD3E3F">
            <w:pPr>
              <w:pStyle w:val="74"/>
              <w:widowControl/>
              <w:numPr>
                <w:ilvl w:val="0"/>
                <w:numId w:val="15"/>
              </w:numPr>
              <w:spacing w:line="240" w:lineRule="auto"/>
              <w:ind w:firstLineChars="0"/>
              <w:rPr>
                <w:rFonts w:cs="宋体"/>
                <w:kern w:val="0"/>
                <w:szCs w:val="24"/>
              </w:rPr>
            </w:pPr>
            <w:r>
              <w:rPr>
                <w:rFonts w:hint="eastAsia" w:cs="宋体"/>
                <w:kern w:val="0"/>
                <w:szCs w:val="24"/>
              </w:rPr>
              <w:t>隐亮、鬼影消除：通过系统校正，能消除隐亮、鬼影现象；</w:t>
            </w:r>
          </w:p>
          <w:p w14:paraId="7E51402F">
            <w:pPr>
              <w:pStyle w:val="74"/>
              <w:widowControl/>
              <w:numPr>
                <w:ilvl w:val="0"/>
                <w:numId w:val="15"/>
              </w:numPr>
              <w:spacing w:line="240" w:lineRule="auto"/>
              <w:ind w:firstLineChars="0"/>
              <w:rPr>
                <w:rFonts w:cs="宋体"/>
                <w:kern w:val="0"/>
                <w:szCs w:val="24"/>
              </w:rPr>
            </w:pPr>
            <w:r>
              <w:rPr>
                <w:rFonts w:hint="eastAsia" w:cs="宋体"/>
                <w:kern w:val="0"/>
                <w:szCs w:val="24"/>
              </w:rPr>
              <w:t>换帧频率（Hz）：50&amp;60；</w:t>
            </w:r>
          </w:p>
          <w:p w14:paraId="0977E769">
            <w:pPr>
              <w:pStyle w:val="74"/>
              <w:widowControl/>
              <w:numPr>
                <w:ilvl w:val="0"/>
                <w:numId w:val="15"/>
              </w:numPr>
              <w:spacing w:line="240" w:lineRule="auto"/>
              <w:ind w:firstLineChars="0"/>
              <w:rPr>
                <w:rFonts w:cs="宋体"/>
                <w:kern w:val="0"/>
                <w:szCs w:val="24"/>
              </w:rPr>
            </w:pPr>
            <w:r>
              <w:rPr>
                <w:rFonts w:hint="eastAsia" w:cs="宋体"/>
                <w:kern w:val="0"/>
                <w:szCs w:val="24"/>
              </w:rPr>
              <w:t>使用寿命：LED 屏体寿命≥120000 小时；</w:t>
            </w:r>
          </w:p>
          <w:p w14:paraId="0F020867">
            <w:pPr>
              <w:pStyle w:val="74"/>
              <w:widowControl/>
              <w:numPr>
                <w:ilvl w:val="0"/>
                <w:numId w:val="15"/>
              </w:numPr>
              <w:spacing w:line="240" w:lineRule="auto"/>
              <w:ind w:firstLineChars="0"/>
              <w:rPr>
                <w:rFonts w:cs="宋体"/>
                <w:kern w:val="0"/>
                <w:szCs w:val="24"/>
              </w:rPr>
            </w:pPr>
            <w:r>
              <w:rPr>
                <w:rFonts w:hint="eastAsia" w:cs="宋体"/>
                <w:kern w:val="0"/>
                <w:szCs w:val="24"/>
              </w:rPr>
              <w:t>白平衡色温：800-20000K，支持无极调节。</w:t>
            </w:r>
          </w:p>
          <w:p w14:paraId="1A7E8E61">
            <w:pPr>
              <w:pStyle w:val="74"/>
              <w:widowControl/>
              <w:numPr>
                <w:ilvl w:val="0"/>
                <w:numId w:val="15"/>
              </w:numPr>
              <w:spacing w:line="240" w:lineRule="auto"/>
              <w:ind w:firstLineChars="0"/>
              <w:rPr>
                <w:rFonts w:cs="宋体"/>
                <w:kern w:val="0"/>
                <w:szCs w:val="24"/>
              </w:rPr>
            </w:pPr>
            <w:r>
              <w:rPr>
                <w:rFonts w:hint="eastAsia" w:cs="宋体"/>
                <w:kern w:val="0"/>
                <w:szCs w:val="24"/>
              </w:rPr>
              <w:t>灰度等级：最高值≥16bit，颜色种类最大值≥281万亿色。</w:t>
            </w:r>
          </w:p>
          <w:p w14:paraId="62922D23">
            <w:pPr>
              <w:pStyle w:val="74"/>
              <w:widowControl/>
              <w:numPr>
                <w:ilvl w:val="0"/>
                <w:numId w:val="15"/>
              </w:numPr>
              <w:spacing w:line="240" w:lineRule="auto"/>
              <w:ind w:firstLineChars="0"/>
              <w:rPr>
                <w:rFonts w:cs="宋体"/>
                <w:kern w:val="0"/>
                <w:szCs w:val="24"/>
              </w:rPr>
            </w:pPr>
            <w:r>
              <w:rPr>
                <w:rFonts w:hint="eastAsia" w:cs="宋体"/>
                <w:kern w:val="0"/>
                <w:szCs w:val="24"/>
              </w:rPr>
              <w:t>亮度智能调节：HDR模式下白平衡亮度≥1000cd/m'(nit)，可无极调节，可设置亮度定时调节。</w:t>
            </w:r>
          </w:p>
          <w:p w14:paraId="68FF975B">
            <w:pPr>
              <w:pStyle w:val="74"/>
              <w:widowControl/>
              <w:numPr>
                <w:ilvl w:val="0"/>
                <w:numId w:val="15"/>
              </w:numPr>
              <w:spacing w:line="240" w:lineRule="auto"/>
              <w:ind w:firstLineChars="0"/>
              <w:rPr>
                <w:rFonts w:cs="宋体"/>
                <w:kern w:val="0"/>
                <w:szCs w:val="24"/>
              </w:rPr>
            </w:pPr>
            <w:r>
              <w:rPr>
                <w:rFonts w:hint="eastAsia" w:cs="宋体"/>
                <w:kern w:val="0"/>
                <w:szCs w:val="24"/>
              </w:rPr>
              <w:t>图像处理，图像应具有降噪、增强、运动补偿、色坐标变换处理、钝化处理等菜单功能。</w:t>
            </w:r>
          </w:p>
          <w:p w14:paraId="31BD43F9">
            <w:pPr>
              <w:pStyle w:val="74"/>
              <w:widowControl/>
              <w:numPr>
                <w:ilvl w:val="0"/>
                <w:numId w:val="15"/>
              </w:numPr>
              <w:spacing w:line="240" w:lineRule="auto"/>
              <w:ind w:firstLineChars="0"/>
              <w:rPr>
                <w:rFonts w:cs="宋体"/>
                <w:kern w:val="0"/>
                <w:szCs w:val="24"/>
              </w:rPr>
            </w:pPr>
            <w:r>
              <w:rPr>
                <w:rFonts w:hint="eastAsia" w:cs="宋体"/>
                <w:kern w:val="0"/>
                <w:szCs w:val="24"/>
              </w:rPr>
              <w:t>色度均匀性：±0.002Cx,Cy之内。</w:t>
            </w:r>
          </w:p>
          <w:p w14:paraId="747CBEB4">
            <w:pPr>
              <w:pStyle w:val="74"/>
              <w:widowControl/>
              <w:numPr>
                <w:ilvl w:val="0"/>
                <w:numId w:val="15"/>
              </w:numPr>
              <w:spacing w:line="240" w:lineRule="auto"/>
              <w:ind w:firstLineChars="0"/>
              <w:rPr>
                <w:rFonts w:cs="宋体"/>
                <w:kern w:val="0"/>
                <w:szCs w:val="24"/>
              </w:rPr>
            </w:pPr>
            <w:r>
              <w:rPr>
                <w:rFonts w:hint="eastAsia" w:cs="宋体"/>
                <w:kern w:val="0"/>
                <w:szCs w:val="24"/>
              </w:rPr>
              <w:t>自动修复功能：具备自我修复，暗线修复、鬼影与隐亮消除等功能。</w:t>
            </w:r>
          </w:p>
          <w:p w14:paraId="06B496C3">
            <w:pPr>
              <w:pStyle w:val="74"/>
              <w:widowControl/>
              <w:numPr>
                <w:ilvl w:val="0"/>
                <w:numId w:val="15"/>
              </w:numPr>
              <w:spacing w:line="240" w:lineRule="auto"/>
              <w:ind w:firstLineChars="0"/>
              <w:rPr>
                <w:rFonts w:cs="宋体"/>
                <w:kern w:val="0"/>
                <w:szCs w:val="24"/>
              </w:rPr>
            </w:pPr>
            <w:r>
              <w:rPr>
                <w:rFonts w:hint="eastAsia" w:cs="宋体"/>
                <w:kern w:val="0"/>
                <w:szCs w:val="24"/>
              </w:rPr>
              <w:t>平均无故障时间≥100000小时，连续工作时间≥7x24小时，不应出现电机械或操作系统的故障，</w:t>
            </w:r>
            <w:r>
              <w:rPr>
                <w:rFonts w:hint="eastAsia" w:ascii="宋体" w:hAnsi="宋体" w:cs="宋体"/>
                <w:szCs w:val="21"/>
              </w:rPr>
              <w:t>提供具备CNAS或CMA检测资质的检测报告</w:t>
            </w:r>
            <w:r>
              <w:rPr>
                <w:rFonts w:hint="eastAsia" w:cs="宋体"/>
                <w:kern w:val="0"/>
                <w:szCs w:val="24"/>
              </w:rPr>
              <w:t>。</w:t>
            </w:r>
          </w:p>
          <w:p w14:paraId="100EAE00">
            <w:pPr>
              <w:pStyle w:val="74"/>
              <w:widowControl/>
              <w:numPr>
                <w:ilvl w:val="0"/>
                <w:numId w:val="15"/>
              </w:numPr>
              <w:spacing w:line="240" w:lineRule="auto"/>
              <w:ind w:firstLineChars="0"/>
              <w:rPr>
                <w:rFonts w:cs="宋体"/>
                <w:kern w:val="0"/>
                <w:szCs w:val="24"/>
              </w:rPr>
            </w:pPr>
            <w:r>
              <w:rPr>
                <w:rFonts w:hint="eastAsia" w:cs="宋体"/>
                <w:kern w:val="0"/>
                <w:szCs w:val="24"/>
              </w:rPr>
              <w:t>温湿度耐受度实验：在室内温度10-40℃、湿度10-70%的环境下，显示模块能7x24小时不间断正常运行</w:t>
            </w:r>
            <w:r>
              <w:rPr>
                <w:rFonts w:hint="eastAsia" w:ascii="宋体" w:hAnsi="宋体" w:cs="宋体"/>
                <w:szCs w:val="21"/>
              </w:rPr>
              <w:t>,提供具备CNAS或CMA检测资质的检测报告</w:t>
            </w:r>
          </w:p>
          <w:p w14:paraId="2C9E93C3">
            <w:pPr>
              <w:pStyle w:val="74"/>
              <w:widowControl/>
              <w:numPr>
                <w:ilvl w:val="0"/>
                <w:numId w:val="15"/>
              </w:numPr>
              <w:spacing w:line="240" w:lineRule="auto"/>
              <w:ind w:firstLineChars="0"/>
              <w:rPr>
                <w:rFonts w:cs="宋体"/>
                <w:kern w:val="0"/>
                <w:szCs w:val="24"/>
              </w:rPr>
            </w:pPr>
            <w:r>
              <w:rPr>
                <w:rFonts w:hint="eastAsia" w:cs="宋体"/>
                <w:kern w:val="0"/>
                <w:szCs w:val="24"/>
              </w:rPr>
              <w:t>▲显示模块具有防腐防尘、防电磁干扰、抗静电、防水防潮、防磕碰等功能，具备防过流、短路、过热保护散热等技术，正面防尘等级至少达到IP6X</w:t>
            </w:r>
            <w:r>
              <w:rPr>
                <w:rFonts w:hint="eastAsia" w:ascii="宋体" w:hAnsi="宋体" w:cs="宋体"/>
                <w:szCs w:val="21"/>
              </w:rPr>
              <w:t>,提供具备CNAS或CMA检测资质的检测报告</w:t>
            </w:r>
            <w:r>
              <w:rPr>
                <w:rFonts w:hint="eastAsia" w:cs="宋体"/>
                <w:kern w:val="0"/>
                <w:szCs w:val="24"/>
              </w:rPr>
              <w:t>。</w:t>
            </w:r>
          </w:p>
          <w:p w14:paraId="50396DAA">
            <w:pPr>
              <w:pStyle w:val="74"/>
              <w:widowControl/>
              <w:numPr>
                <w:ilvl w:val="0"/>
                <w:numId w:val="15"/>
              </w:numPr>
              <w:spacing w:line="240" w:lineRule="auto"/>
              <w:ind w:firstLineChars="0"/>
              <w:rPr>
                <w:rFonts w:cs="宋体"/>
                <w:kern w:val="0"/>
                <w:szCs w:val="24"/>
              </w:rPr>
            </w:pPr>
            <w:r>
              <w:rPr>
                <w:rFonts w:hint="eastAsia" w:cs="宋体"/>
                <w:kern w:val="0"/>
                <w:szCs w:val="24"/>
              </w:rPr>
              <w:t>▲具有H2S宽动态处理技术，避免主控机二次重复播放时的衰减等现象</w:t>
            </w:r>
            <w:r>
              <w:rPr>
                <w:rFonts w:hint="eastAsia" w:ascii="宋体" w:hAnsi="宋体" w:cs="宋体"/>
                <w:szCs w:val="21"/>
              </w:rPr>
              <w:t>,提供具备CNAS或CMA检测资质的检测报告</w:t>
            </w:r>
            <w:r>
              <w:rPr>
                <w:rFonts w:hint="eastAsia" w:cs="宋体"/>
                <w:kern w:val="0"/>
                <w:szCs w:val="24"/>
              </w:rPr>
              <w:t>。</w:t>
            </w:r>
          </w:p>
        </w:tc>
      </w:tr>
      <w:tr w14:paraId="5BD18AA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7A5D8C2E">
            <w:pPr>
              <w:widowControl/>
              <w:spacing w:line="240" w:lineRule="auto"/>
              <w:jc w:val="center"/>
              <w:rPr>
                <w:rFonts w:hint="eastAsia" w:cs="宋体"/>
                <w:kern w:val="0"/>
              </w:rPr>
            </w:pPr>
            <w:r>
              <w:rPr>
                <w:rFonts w:hint="eastAsia" w:cs="宋体"/>
                <w:kern w:val="0"/>
              </w:rPr>
              <w:t>12.2</w:t>
            </w:r>
          </w:p>
        </w:tc>
        <w:tc>
          <w:tcPr>
            <w:tcW w:w="992" w:type="dxa"/>
            <w:tcBorders>
              <w:bottom w:val="single" w:color="000000" w:sz="4" w:space="0"/>
            </w:tcBorders>
            <w:shd w:val="clear" w:color="auto" w:fill="auto"/>
            <w:vAlign w:val="center"/>
          </w:tcPr>
          <w:p w14:paraId="1A676659">
            <w:pPr>
              <w:widowControl/>
              <w:spacing w:line="240" w:lineRule="auto"/>
              <w:jc w:val="center"/>
              <w:rPr>
                <w:rFonts w:hint="eastAsia" w:cs="宋体"/>
                <w:kern w:val="0"/>
              </w:rPr>
            </w:pPr>
            <w:r>
              <w:rPr>
                <w:rFonts w:hint="eastAsia"/>
                <w:szCs w:val="21"/>
              </w:rPr>
              <w:t>模组</w:t>
            </w:r>
          </w:p>
        </w:tc>
        <w:tc>
          <w:tcPr>
            <w:tcW w:w="851" w:type="dxa"/>
            <w:tcBorders>
              <w:bottom w:val="single" w:color="000000" w:sz="4" w:space="0"/>
            </w:tcBorders>
            <w:vAlign w:val="center"/>
          </w:tcPr>
          <w:p w14:paraId="6F2AB44B">
            <w:pPr>
              <w:rPr>
                <w:rFonts w:hint="eastAsia"/>
              </w:rPr>
            </w:pPr>
            <w:r>
              <w:rPr>
                <w:rFonts w:hint="eastAsia"/>
              </w:rPr>
              <w:t>个</w:t>
            </w:r>
          </w:p>
        </w:tc>
        <w:tc>
          <w:tcPr>
            <w:tcW w:w="850" w:type="dxa"/>
            <w:tcBorders>
              <w:bottom w:val="single" w:color="000000" w:sz="4" w:space="0"/>
            </w:tcBorders>
            <w:vAlign w:val="center"/>
          </w:tcPr>
          <w:p w14:paraId="32336368">
            <w:pPr>
              <w:rPr>
                <w:rFonts w:hint="eastAsia"/>
              </w:rPr>
            </w:pPr>
            <w:r>
              <w:rPr>
                <w:rFonts w:hint="eastAsia"/>
              </w:rPr>
              <w:t>3</w:t>
            </w:r>
          </w:p>
        </w:tc>
        <w:tc>
          <w:tcPr>
            <w:tcW w:w="5528" w:type="dxa"/>
            <w:tcBorders>
              <w:bottom w:val="single" w:color="000000" w:sz="4" w:space="0"/>
            </w:tcBorders>
            <w:shd w:val="clear" w:color="auto" w:fill="auto"/>
            <w:vAlign w:val="center"/>
          </w:tcPr>
          <w:p w14:paraId="1F4CE801">
            <w:pPr>
              <w:pStyle w:val="74"/>
              <w:widowControl/>
              <w:numPr>
                <w:ilvl w:val="0"/>
                <w:numId w:val="16"/>
              </w:numPr>
              <w:spacing w:line="240" w:lineRule="auto"/>
              <w:ind w:firstLineChars="0"/>
              <w:rPr>
                <w:rFonts w:cs="宋体"/>
                <w:kern w:val="0"/>
                <w:szCs w:val="24"/>
              </w:rPr>
            </w:pPr>
            <w:r>
              <w:rPr>
                <w:rFonts w:hint="eastAsia" w:cs="宋体"/>
                <w:kern w:val="0"/>
                <w:szCs w:val="24"/>
              </w:rPr>
              <w:t>模组尺寸：≥320mm*160mm；</w:t>
            </w:r>
          </w:p>
          <w:p w14:paraId="1E728B68">
            <w:pPr>
              <w:pStyle w:val="74"/>
              <w:widowControl/>
              <w:numPr>
                <w:ilvl w:val="0"/>
                <w:numId w:val="16"/>
              </w:numPr>
              <w:spacing w:line="240" w:lineRule="auto"/>
              <w:ind w:firstLineChars="0"/>
              <w:rPr>
                <w:rFonts w:cs="宋体"/>
                <w:kern w:val="0"/>
                <w:szCs w:val="24"/>
              </w:rPr>
            </w:pPr>
            <w:r>
              <w:rPr>
                <w:rFonts w:hint="eastAsia" w:cs="宋体"/>
                <w:kern w:val="0"/>
                <w:szCs w:val="24"/>
              </w:rPr>
              <w:t>模组分辨率：≥209x105。</w:t>
            </w:r>
          </w:p>
        </w:tc>
      </w:tr>
      <w:tr w14:paraId="2DDD2D5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728342E7">
            <w:pPr>
              <w:widowControl/>
              <w:spacing w:line="240" w:lineRule="auto"/>
              <w:jc w:val="center"/>
              <w:rPr>
                <w:rFonts w:hint="eastAsia" w:cs="宋体"/>
                <w:kern w:val="0"/>
              </w:rPr>
            </w:pPr>
            <w:r>
              <w:rPr>
                <w:rFonts w:hint="eastAsia" w:cs="宋体"/>
                <w:kern w:val="0"/>
              </w:rPr>
              <w:t>12.3</w:t>
            </w:r>
          </w:p>
        </w:tc>
        <w:tc>
          <w:tcPr>
            <w:tcW w:w="992" w:type="dxa"/>
            <w:tcBorders>
              <w:bottom w:val="single" w:color="000000" w:sz="4" w:space="0"/>
            </w:tcBorders>
            <w:shd w:val="clear" w:color="auto" w:fill="auto"/>
            <w:vAlign w:val="center"/>
          </w:tcPr>
          <w:p w14:paraId="44C07905">
            <w:pPr>
              <w:widowControl/>
              <w:spacing w:line="240" w:lineRule="auto"/>
              <w:jc w:val="center"/>
              <w:rPr>
                <w:rFonts w:hint="eastAsia" w:cs="宋体"/>
                <w:kern w:val="0"/>
              </w:rPr>
            </w:pPr>
            <w:r>
              <w:rPr>
                <w:rFonts w:hint="eastAsia"/>
                <w:szCs w:val="21"/>
              </w:rPr>
              <w:t>接收卡</w:t>
            </w:r>
          </w:p>
        </w:tc>
        <w:tc>
          <w:tcPr>
            <w:tcW w:w="851" w:type="dxa"/>
            <w:tcBorders>
              <w:bottom w:val="single" w:color="000000" w:sz="4" w:space="0"/>
            </w:tcBorders>
            <w:vAlign w:val="center"/>
          </w:tcPr>
          <w:p w14:paraId="2501F9E1">
            <w:pPr>
              <w:rPr>
                <w:rFonts w:hint="eastAsia"/>
              </w:rPr>
            </w:pPr>
            <w:r>
              <w:rPr>
                <w:rFonts w:hint="eastAsia"/>
              </w:rPr>
              <w:t>张</w:t>
            </w:r>
          </w:p>
        </w:tc>
        <w:tc>
          <w:tcPr>
            <w:tcW w:w="850" w:type="dxa"/>
            <w:tcBorders>
              <w:bottom w:val="single" w:color="000000" w:sz="4" w:space="0"/>
            </w:tcBorders>
            <w:vAlign w:val="center"/>
          </w:tcPr>
          <w:p w14:paraId="55C475FF">
            <w:pPr>
              <w:rPr>
                <w:rFonts w:hint="eastAsia"/>
              </w:rPr>
            </w:pPr>
            <w:r>
              <w:rPr>
                <w:rFonts w:hint="eastAsia"/>
              </w:rPr>
              <w:t>2</w:t>
            </w:r>
          </w:p>
        </w:tc>
        <w:tc>
          <w:tcPr>
            <w:tcW w:w="5528" w:type="dxa"/>
            <w:tcBorders>
              <w:bottom w:val="single" w:color="000000" w:sz="4" w:space="0"/>
            </w:tcBorders>
            <w:shd w:val="clear" w:color="auto" w:fill="auto"/>
            <w:vAlign w:val="center"/>
          </w:tcPr>
          <w:p w14:paraId="04459021">
            <w:pPr>
              <w:pStyle w:val="74"/>
              <w:widowControl/>
              <w:numPr>
                <w:ilvl w:val="0"/>
                <w:numId w:val="17"/>
              </w:numPr>
              <w:spacing w:line="240" w:lineRule="auto"/>
              <w:ind w:firstLineChars="0"/>
              <w:rPr>
                <w:rFonts w:cs="宋体"/>
                <w:kern w:val="0"/>
                <w:szCs w:val="24"/>
              </w:rPr>
            </w:pPr>
            <w:r>
              <w:rPr>
                <w:rFonts w:hint="eastAsia" w:cs="宋体"/>
                <w:kern w:val="0"/>
                <w:szCs w:val="24"/>
              </w:rPr>
              <w:t>支持逐点亮色度校正，配合软件和相机，对每个灯点的亮度和色度进行校正；</w:t>
            </w:r>
          </w:p>
          <w:p w14:paraId="04BCD3C5">
            <w:pPr>
              <w:pStyle w:val="74"/>
              <w:widowControl/>
              <w:numPr>
                <w:ilvl w:val="0"/>
                <w:numId w:val="17"/>
              </w:numPr>
              <w:spacing w:line="240" w:lineRule="auto"/>
              <w:ind w:firstLineChars="0"/>
              <w:rPr>
                <w:rFonts w:cs="宋体"/>
                <w:kern w:val="0"/>
                <w:szCs w:val="24"/>
              </w:rPr>
            </w:pPr>
            <w:r>
              <w:rPr>
                <w:rFonts w:hint="eastAsia" w:cs="宋体"/>
                <w:kern w:val="0"/>
                <w:szCs w:val="24"/>
              </w:rPr>
              <w:t>支持快速亮暗线调节，用来消除灯板与灯板、箱体与箱体之间的缝隙；</w:t>
            </w:r>
          </w:p>
          <w:p w14:paraId="575D98CA">
            <w:pPr>
              <w:pStyle w:val="74"/>
              <w:widowControl/>
              <w:numPr>
                <w:ilvl w:val="0"/>
                <w:numId w:val="17"/>
              </w:numPr>
              <w:spacing w:line="240" w:lineRule="auto"/>
              <w:ind w:firstLineChars="0"/>
              <w:rPr>
                <w:rFonts w:cs="宋体"/>
                <w:kern w:val="0"/>
                <w:szCs w:val="24"/>
              </w:rPr>
            </w:pPr>
            <w:r>
              <w:rPr>
                <w:rFonts w:hint="eastAsia" w:cs="宋体"/>
                <w:kern w:val="0"/>
                <w:szCs w:val="24"/>
              </w:rPr>
              <w:t>支持3D 功能，配合支持 3D 功能的控制器，,开启 3D 功能，设置 3D 参数， 使显示屏播放画面显示 3D效果；</w:t>
            </w:r>
          </w:p>
          <w:p w14:paraId="723E3803">
            <w:pPr>
              <w:pStyle w:val="74"/>
              <w:widowControl/>
              <w:numPr>
                <w:ilvl w:val="0"/>
                <w:numId w:val="17"/>
              </w:numPr>
              <w:spacing w:line="240" w:lineRule="auto"/>
              <w:ind w:firstLineChars="0"/>
              <w:rPr>
                <w:rFonts w:cs="宋体"/>
                <w:kern w:val="0"/>
                <w:szCs w:val="24"/>
              </w:rPr>
            </w:pPr>
            <w:r>
              <w:rPr>
                <w:rFonts w:hint="eastAsia" w:cs="宋体"/>
                <w:kern w:val="0"/>
                <w:szCs w:val="24"/>
              </w:rPr>
              <w:t>超大带载：自带至少16个HUB75接口，最大支持带载≥512x384。</w:t>
            </w:r>
          </w:p>
        </w:tc>
      </w:tr>
      <w:tr w14:paraId="3A7FD31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695EFCD5">
            <w:pPr>
              <w:widowControl/>
              <w:spacing w:line="240" w:lineRule="auto"/>
              <w:jc w:val="center"/>
              <w:rPr>
                <w:rFonts w:hint="eastAsia" w:cs="宋体"/>
                <w:kern w:val="0"/>
              </w:rPr>
            </w:pPr>
            <w:r>
              <w:rPr>
                <w:rFonts w:hint="eastAsia" w:cs="宋体"/>
                <w:kern w:val="0"/>
              </w:rPr>
              <w:t>12.4</w:t>
            </w:r>
          </w:p>
        </w:tc>
        <w:tc>
          <w:tcPr>
            <w:tcW w:w="992" w:type="dxa"/>
            <w:tcBorders>
              <w:bottom w:val="single" w:color="000000" w:sz="4" w:space="0"/>
            </w:tcBorders>
            <w:shd w:val="clear" w:color="auto" w:fill="auto"/>
            <w:vAlign w:val="center"/>
          </w:tcPr>
          <w:p w14:paraId="0A7A0DDA">
            <w:pPr>
              <w:widowControl/>
              <w:spacing w:line="240" w:lineRule="auto"/>
              <w:jc w:val="center"/>
              <w:rPr>
                <w:rFonts w:hint="eastAsia" w:cs="宋体"/>
                <w:kern w:val="0"/>
              </w:rPr>
            </w:pPr>
            <w:r>
              <w:rPr>
                <w:rFonts w:hint="eastAsia"/>
                <w:szCs w:val="21"/>
              </w:rPr>
              <w:t>电源</w:t>
            </w:r>
          </w:p>
        </w:tc>
        <w:tc>
          <w:tcPr>
            <w:tcW w:w="851" w:type="dxa"/>
            <w:tcBorders>
              <w:bottom w:val="single" w:color="000000" w:sz="4" w:space="0"/>
            </w:tcBorders>
            <w:vAlign w:val="center"/>
          </w:tcPr>
          <w:p w14:paraId="40DEBB54">
            <w:pPr>
              <w:rPr>
                <w:rFonts w:hint="eastAsia"/>
              </w:rPr>
            </w:pPr>
            <w:r>
              <w:rPr>
                <w:rFonts w:hint="eastAsia"/>
              </w:rPr>
              <w:t>个</w:t>
            </w:r>
          </w:p>
        </w:tc>
        <w:tc>
          <w:tcPr>
            <w:tcW w:w="850" w:type="dxa"/>
            <w:tcBorders>
              <w:bottom w:val="single" w:color="000000" w:sz="4" w:space="0"/>
            </w:tcBorders>
            <w:vAlign w:val="center"/>
          </w:tcPr>
          <w:p w14:paraId="06235244">
            <w:pPr>
              <w:rPr>
                <w:rFonts w:hint="eastAsia"/>
              </w:rPr>
            </w:pPr>
            <w:r>
              <w:rPr>
                <w:rFonts w:hint="eastAsia"/>
              </w:rPr>
              <w:t>2</w:t>
            </w:r>
          </w:p>
        </w:tc>
        <w:tc>
          <w:tcPr>
            <w:tcW w:w="5528" w:type="dxa"/>
            <w:tcBorders>
              <w:bottom w:val="single" w:color="000000" w:sz="4" w:space="0"/>
            </w:tcBorders>
            <w:shd w:val="clear" w:color="auto" w:fill="auto"/>
            <w:vAlign w:val="center"/>
          </w:tcPr>
          <w:p w14:paraId="7DCE8987">
            <w:pPr>
              <w:pStyle w:val="74"/>
              <w:widowControl/>
              <w:numPr>
                <w:ilvl w:val="0"/>
                <w:numId w:val="18"/>
              </w:numPr>
              <w:spacing w:line="240" w:lineRule="auto"/>
              <w:ind w:firstLineChars="0"/>
              <w:rPr>
                <w:rFonts w:cs="宋体"/>
                <w:kern w:val="0"/>
                <w:szCs w:val="24"/>
              </w:rPr>
            </w:pPr>
            <w:r>
              <w:rPr>
                <w:rFonts w:hint="eastAsia" w:cs="宋体"/>
                <w:kern w:val="0"/>
                <w:szCs w:val="24"/>
              </w:rPr>
              <w:t>≥DC5V 40A 200W。</w:t>
            </w:r>
          </w:p>
        </w:tc>
      </w:tr>
      <w:tr w14:paraId="67C74F0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4BE16AA0">
            <w:pPr>
              <w:widowControl/>
              <w:spacing w:line="240" w:lineRule="auto"/>
              <w:jc w:val="center"/>
              <w:rPr>
                <w:rFonts w:hint="eastAsia" w:cs="宋体"/>
                <w:kern w:val="0"/>
              </w:rPr>
            </w:pPr>
            <w:r>
              <w:rPr>
                <w:rFonts w:hint="eastAsia" w:cs="宋体"/>
                <w:kern w:val="0"/>
              </w:rPr>
              <w:t>12.5</w:t>
            </w:r>
          </w:p>
        </w:tc>
        <w:tc>
          <w:tcPr>
            <w:tcW w:w="992" w:type="dxa"/>
            <w:tcBorders>
              <w:bottom w:val="single" w:color="000000" w:sz="4" w:space="0"/>
            </w:tcBorders>
            <w:shd w:val="clear" w:color="auto" w:fill="auto"/>
            <w:vAlign w:val="center"/>
          </w:tcPr>
          <w:p w14:paraId="1421A103">
            <w:pPr>
              <w:spacing w:line="276" w:lineRule="auto"/>
              <w:jc w:val="center"/>
              <w:rPr>
                <w:rFonts w:hint="eastAsia"/>
                <w:szCs w:val="21"/>
              </w:rPr>
            </w:pPr>
            <w:r>
              <w:rPr>
                <w:rFonts w:hint="eastAsia"/>
                <w:szCs w:val="21"/>
              </w:rPr>
              <w:t>LED控制器</w:t>
            </w:r>
          </w:p>
          <w:p w14:paraId="058809B5">
            <w:pPr>
              <w:widowControl/>
              <w:spacing w:line="240" w:lineRule="auto"/>
              <w:jc w:val="center"/>
              <w:rPr>
                <w:rFonts w:hint="eastAsia" w:cs="宋体"/>
                <w:kern w:val="0"/>
              </w:rPr>
            </w:pPr>
            <w:r>
              <w:rPr>
                <w:rFonts w:hint="eastAsia"/>
                <w:szCs w:val="21"/>
              </w:rPr>
              <w:t>（二合一）</w:t>
            </w:r>
          </w:p>
        </w:tc>
        <w:tc>
          <w:tcPr>
            <w:tcW w:w="851" w:type="dxa"/>
            <w:tcBorders>
              <w:bottom w:val="single" w:color="000000" w:sz="4" w:space="0"/>
            </w:tcBorders>
            <w:vAlign w:val="center"/>
          </w:tcPr>
          <w:p w14:paraId="613DB5DC">
            <w:pPr>
              <w:rPr>
                <w:rFonts w:hint="eastAsia"/>
              </w:rPr>
            </w:pPr>
            <w:r>
              <w:rPr>
                <w:rFonts w:hint="eastAsia"/>
              </w:rPr>
              <w:t>台</w:t>
            </w:r>
          </w:p>
        </w:tc>
        <w:tc>
          <w:tcPr>
            <w:tcW w:w="850" w:type="dxa"/>
            <w:tcBorders>
              <w:bottom w:val="single" w:color="000000" w:sz="4" w:space="0"/>
            </w:tcBorders>
            <w:vAlign w:val="center"/>
          </w:tcPr>
          <w:p w14:paraId="0F952C6D">
            <w:pPr>
              <w:rPr>
                <w:rFonts w:hint="eastAsia"/>
              </w:rPr>
            </w:pPr>
            <w:r>
              <w:t>1</w:t>
            </w:r>
          </w:p>
        </w:tc>
        <w:tc>
          <w:tcPr>
            <w:tcW w:w="5528" w:type="dxa"/>
            <w:tcBorders>
              <w:bottom w:val="single" w:color="000000" w:sz="4" w:space="0"/>
            </w:tcBorders>
            <w:shd w:val="clear" w:color="auto" w:fill="auto"/>
            <w:vAlign w:val="center"/>
          </w:tcPr>
          <w:p w14:paraId="1ACEBE3F">
            <w:pPr>
              <w:pStyle w:val="74"/>
              <w:widowControl/>
              <w:numPr>
                <w:ilvl w:val="0"/>
                <w:numId w:val="19"/>
              </w:numPr>
              <w:spacing w:line="240" w:lineRule="auto"/>
              <w:ind w:firstLineChars="0"/>
              <w:rPr>
                <w:rFonts w:cs="宋体"/>
                <w:kern w:val="0"/>
                <w:szCs w:val="24"/>
              </w:rPr>
            </w:pPr>
            <w:r>
              <w:rPr>
                <w:rFonts w:hint="eastAsia" w:cs="宋体"/>
                <w:kern w:val="0"/>
                <w:szCs w:val="24"/>
              </w:rPr>
              <w:t>支持常见的视频接口，≥1路3G-SDI（选配）、≥2路 HDMI1.4和≥1路 DVI，支持音频输入输出；</w:t>
            </w:r>
          </w:p>
          <w:p w14:paraId="24081D84">
            <w:pPr>
              <w:pStyle w:val="74"/>
              <w:widowControl/>
              <w:numPr>
                <w:ilvl w:val="0"/>
                <w:numId w:val="19"/>
              </w:numPr>
              <w:spacing w:line="240" w:lineRule="auto"/>
              <w:ind w:firstLineChars="0"/>
              <w:rPr>
                <w:rFonts w:cs="宋体"/>
                <w:kern w:val="0"/>
                <w:szCs w:val="24"/>
              </w:rPr>
            </w:pPr>
            <w:r>
              <w:rPr>
                <w:rFonts w:hint="eastAsia" w:cs="宋体"/>
                <w:kern w:val="0"/>
                <w:szCs w:val="24"/>
              </w:rPr>
              <w:t>至少支持3画面显示，至少支持3个窗口任意布局；</w:t>
            </w:r>
          </w:p>
          <w:p w14:paraId="280EBCC8">
            <w:pPr>
              <w:pStyle w:val="74"/>
              <w:widowControl/>
              <w:numPr>
                <w:ilvl w:val="0"/>
                <w:numId w:val="19"/>
              </w:numPr>
              <w:spacing w:line="240" w:lineRule="auto"/>
              <w:ind w:firstLineChars="0"/>
              <w:rPr>
                <w:rFonts w:cs="宋体"/>
                <w:kern w:val="0"/>
                <w:szCs w:val="24"/>
              </w:rPr>
            </w:pPr>
            <w:r>
              <w:rPr>
                <w:rFonts w:hint="eastAsia" w:cs="宋体"/>
                <w:kern w:val="0"/>
                <w:szCs w:val="24"/>
              </w:rPr>
              <w:t>支持快捷配屏和高级配屏功能；</w:t>
            </w:r>
          </w:p>
          <w:p w14:paraId="5E89A105">
            <w:pPr>
              <w:pStyle w:val="74"/>
              <w:widowControl/>
              <w:numPr>
                <w:ilvl w:val="0"/>
                <w:numId w:val="19"/>
              </w:numPr>
              <w:spacing w:line="240" w:lineRule="auto"/>
              <w:ind w:firstLineChars="0"/>
              <w:rPr>
                <w:rFonts w:cs="宋体"/>
                <w:kern w:val="0"/>
                <w:szCs w:val="24"/>
              </w:rPr>
            </w:pPr>
            <w:r>
              <w:rPr>
                <w:rFonts w:hint="eastAsia" w:cs="宋体"/>
                <w:kern w:val="0"/>
                <w:szCs w:val="24"/>
              </w:rPr>
              <w:t>支持HDMI、DVI输入分辨率自定义调节；</w:t>
            </w:r>
          </w:p>
          <w:p w14:paraId="4DB835C3">
            <w:pPr>
              <w:pStyle w:val="74"/>
              <w:widowControl/>
              <w:numPr>
                <w:ilvl w:val="0"/>
                <w:numId w:val="19"/>
              </w:numPr>
              <w:spacing w:line="240" w:lineRule="auto"/>
              <w:ind w:firstLineChars="0"/>
              <w:rPr>
                <w:rFonts w:cs="宋体"/>
                <w:kern w:val="0"/>
                <w:szCs w:val="24"/>
              </w:rPr>
            </w:pPr>
            <w:r>
              <w:rPr>
                <w:rFonts w:hint="eastAsia" w:cs="宋体"/>
                <w:kern w:val="0"/>
                <w:szCs w:val="24"/>
              </w:rPr>
              <w:t>支持设备间备份设置。</w:t>
            </w:r>
          </w:p>
          <w:p w14:paraId="246E5E70">
            <w:pPr>
              <w:pStyle w:val="74"/>
              <w:widowControl/>
              <w:numPr>
                <w:ilvl w:val="0"/>
                <w:numId w:val="19"/>
              </w:numPr>
              <w:spacing w:line="240" w:lineRule="auto"/>
              <w:ind w:firstLineChars="0"/>
              <w:rPr>
                <w:rFonts w:cs="宋体"/>
                <w:kern w:val="0"/>
                <w:szCs w:val="24"/>
              </w:rPr>
            </w:pPr>
            <w:r>
              <w:rPr>
                <w:rFonts w:hint="eastAsia" w:cs="宋体"/>
                <w:kern w:val="0"/>
                <w:szCs w:val="24"/>
              </w:rPr>
              <w:t>视频输出最大带载≥650万像素；</w:t>
            </w:r>
          </w:p>
          <w:p w14:paraId="0CAC1C32">
            <w:pPr>
              <w:pStyle w:val="74"/>
              <w:widowControl/>
              <w:numPr>
                <w:ilvl w:val="0"/>
                <w:numId w:val="19"/>
              </w:numPr>
              <w:spacing w:line="240" w:lineRule="auto"/>
              <w:ind w:firstLineChars="0"/>
              <w:rPr>
                <w:rFonts w:cs="宋体"/>
                <w:kern w:val="0"/>
                <w:szCs w:val="24"/>
              </w:rPr>
            </w:pPr>
            <w:r>
              <w:rPr>
                <w:rFonts w:hint="eastAsia" w:cs="宋体"/>
                <w:kern w:val="0"/>
                <w:szCs w:val="24"/>
              </w:rPr>
              <w:t>支持带载屏体亮度调节，通过旋钮可实现100级亮度调节。</w:t>
            </w:r>
          </w:p>
          <w:p w14:paraId="5ABB186D">
            <w:pPr>
              <w:pStyle w:val="74"/>
              <w:widowControl/>
              <w:numPr>
                <w:ilvl w:val="0"/>
                <w:numId w:val="19"/>
              </w:numPr>
              <w:spacing w:line="240" w:lineRule="auto"/>
              <w:ind w:firstLineChars="0"/>
              <w:rPr>
                <w:rFonts w:cs="宋体"/>
                <w:kern w:val="0"/>
                <w:szCs w:val="24"/>
              </w:rPr>
            </w:pPr>
            <w:r>
              <w:rPr>
                <w:rFonts w:hint="eastAsia" w:cs="宋体"/>
                <w:kern w:val="0"/>
                <w:szCs w:val="24"/>
              </w:rPr>
              <w:t>支持一键将优先级最低的窗口全屏自动缩放。</w:t>
            </w:r>
          </w:p>
          <w:p w14:paraId="2F753599">
            <w:pPr>
              <w:pStyle w:val="74"/>
              <w:widowControl/>
              <w:numPr>
                <w:ilvl w:val="0"/>
                <w:numId w:val="19"/>
              </w:numPr>
              <w:spacing w:line="240" w:lineRule="auto"/>
              <w:ind w:firstLineChars="0"/>
              <w:rPr>
                <w:rFonts w:cs="宋体"/>
                <w:kern w:val="0"/>
                <w:szCs w:val="24"/>
              </w:rPr>
            </w:pPr>
            <w:r>
              <w:rPr>
                <w:rFonts w:hint="eastAsia" w:cs="宋体"/>
                <w:kern w:val="0"/>
                <w:szCs w:val="24"/>
              </w:rPr>
              <w:t>支持创建至少10个用户场景作为模板保存，方便使用。</w:t>
            </w:r>
          </w:p>
          <w:p w14:paraId="58F99E94">
            <w:pPr>
              <w:pStyle w:val="74"/>
              <w:widowControl/>
              <w:numPr>
                <w:ilvl w:val="0"/>
                <w:numId w:val="19"/>
              </w:numPr>
              <w:spacing w:line="240" w:lineRule="auto"/>
              <w:ind w:firstLineChars="0"/>
              <w:rPr>
                <w:rFonts w:cs="宋体"/>
                <w:kern w:val="0"/>
                <w:szCs w:val="24"/>
              </w:rPr>
            </w:pPr>
            <w:r>
              <w:rPr>
                <w:rFonts w:hint="eastAsia" w:cs="宋体"/>
                <w:kern w:val="0"/>
                <w:szCs w:val="24"/>
              </w:rPr>
              <w:t>支持选择HDMI输入源或 DVI输入源作为同步信号，达到输出的场级同步。</w:t>
            </w:r>
          </w:p>
          <w:p w14:paraId="7BC5A7EE">
            <w:pPr>
              <w:pStyle w:val="74"/>
              <w:widowControl/>
              <w:numPr>
                <w:ilvl w:val="0"/>
                <w:numId w:val="19"/>
              </w:numPr>
              <w:spacing w:line="240" w:lineRule="auto"/>
              <w:ind w:firstLineChars="0"/>
              <w:rPr>
                <w:rFonts w:cs="宋体"/>
                <w:kern w:val="0"/>
                <w:szCs w:val="24"/>
              </w:rPr>
            </w:pPr>
            <w:r>
              <w:rPr>
                <w:rFonts w:hint="eastAsia" w:cs="宋体"/>
                <w:kern w:val="0"/>
                <w:szCs w:val="24"/>
              </w:rPr>
              <w:t>支持上位机软件操控，开窗布局；</w:t>
            </w:r>
          </w:p>
          <w:p w14:paraId="1DF8F4DB">
            <w:pPr>
              <w:pStyle w:val="74"/>
              <w:widowControl/>
              <w:numPr>
                <w:ilvl w:val="0"/>
                <w:numId w:val="19"/>
              </w:numPr>
              <w:spacing w:line="240" w:lineRule="auto"/>
              <w:ind w:firstLineChars="0"/>
              <w:rPr>
                <w:rFonts w:cs="宋体"/>
                <w:kern w:val="0"/>
                <w:szCs w:val="24"/>
              </w:rPr>
            </w:pPr>
            <w:r>
              <w:rPr>
                <w:rFonts w:hint="eastAsia" w:cs="宋体"/>
                <w:kern w:val="0"/>
                <w:szCs w:val="24"/>
              </w:rPr>
              <w:t>含LED大屏播控软件。</w:t>
            </w:r>
          </w:p>
        </w:tc>
      </w:tr>
      <w:tr w14:paraId="2F01DDB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7F47F9ED">
            <w:pPr>
              <w:widowControl/>
              <w:spacing w:line="240" w:lineRule="auto"/>
              <w:jc w:val="center"/>
              <w:rPr>
                <w:rFonts w:hint="eastAsia" w:cs="宋体"/>
                <w:kern w:val="0"/>
              </w:rPr>
            </w:pPr>
            <w:r>
              <w:rPr>
                <w:rFonts w:hint="eastAsia" w:cs="宋体"/>
                <w:kern w:val="0"/>
              </w:rPr>
              <w:t>12.6</w:t>
            </w:r>
          </w:p>
        </w:tc>
        <w:tc>
          <w:tcPr>
            <w:tcW w:w="992" w:type="dxa"/>
            <w:tcBorders>
              <w:bottom w:val="single" w:color="000000" w:sz="4" w:space="0"/>
            </w:tcBorders>
            <w:shd w:val="clear" w:color="auto" w:fill="auto"/>
            <w:vAlign w:val="center"/>
          </w:tcPr>
          <w:p w14:paraId="2C451A98">
            <w:pPr>
              <w:widowControl/>
              <w:spacing w:line="240" w:lineRule="auto"/>
              <w:jc w:val="center"/>
              <w:rPr>
                <w:rFonts w:hint="eastAsia" w:cs="宋体"/>
                <w:kern w:val="0"/>
              </w:rPr>
            </w:pPr>
            <w:r>
              <w:rPr>
                <w:rFonts w:hint="eastAsia"/>
                <w:szCs w:val="21"/>
              </w:rPr>
              <w:t>LED屏体支架及包边</w:t>
            </w:r>
          </w:p>
        </w:tc>
        <w:tc>
          <w:tcPr>
            <w:tcW w:w="851" w:type="dxa"/>
            <w:tcBorders>
              <w:bottom w:val="single" w:color="000000" w:sz="4" w:space="0"/>
            </w:tcBorders>
            <w:vAlign w:val="center"/>
          </w:tcPr>
          <w:p w14:paraId="34EC205E">
            <w:pPr>
              <w:rPr>
                <w:rFonts w:hint="eastAsia"/>
              </w:rPr>
            </w:pPr>
            <w:r>
              <w:rPr>
                <w:rFonts w:hint="eastAsia"/>
              </w:rPr>
              <w:t>㎡</w:t>
            </w:r>
          </w:p>
        </w:tc>
        <w:tc>
          <w:tcPr>
            <w:tcW w:w="850" w:type="dxa"/>
            <w:tcBorders>
              <w:bottom w:val="single" w:color="000000" w:sz="4" w:space="0"/>
            </w:tcBorders>
            <w:vAlign w:val="center"/>
          </w:tcPr>
          <w:p w14:paraId="14CB3BC1">
            <w:pPr>
              <w:rPr>
                <w:rFonts w:hint="eastAsia"/>
              </w:rPr>
            </w:pPr>
            <w:r>
              <w:rPr>
                <w:rFonts w:hint="eastAsia"/>
              </w:rPr>
              <w:t>16.25</w:t>
            </w:r>
          </w:p>
        </w:tc>
        <w:tc>
          <w:tcPr>
            <w:tcW w:w="5528" w:type="dxa"/>
            <w:tcBorders>
              <w:bottom w:val="single" w:color="000000" w:sz="4" w:space="0"/>
            </w:tcBorders>
            <w:shd w:val="clear" w:color="auto" w:fill="auto"/>
            <w:vAlign w:val="center"/>
          </w:tcPr>
          <w:p w14:paraId="25ECBDE6">
            <w:pPr>
              <w:pStyle w:val="74"/>
              <w:widowControl/>
              <w:numPr>
                <w:ilvl w:val="0"/>
                <w:numId w:val="20"/>
              </w:numPr>
              <w:spacing w:line="240" w:lineRule="auto"/>
              <w:ind w:firstLineChars="0"/>
              <w:rPr>
                <w:rFonts w:cs="宋体"/>
                <w:kern w:val="0"/>
                <w:szCs w:val="24"/>
              </w:rPr>
            </w:pPr>
            <w:r>
              <w:rPr>
                <w:rFonts w:hint="eastAsia" w:cs="宋体"/>
                <w:kern w:val="0"/>
                <w:szCs w:val="24"/>
              </w:rPr>
              <w:t>屏体支架，含拉丝不锈钢包边，包边宽50mm。</w:t>
            </w:r>
          </w:p>
        </w:tc>
      </w:tr>
      <w:tr w14:paraId="67C407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461BCB75">
            <w:pPr>
              <w:widowControl/>
              <w:spacing w:line="240" w:lineRule="auto"/>
              <w:jc w:val="center"/>
              <w:rPr>
                <w:rFonts w:hint="eastAsia" w:cs="宋体"/>
                <w:kern w:val="0"/>
              </w:rPr>
            </w:pPr>
            <w:r>
              <w:rPr>
                <w:rFonts w:hint="eastAsia" w:cs="宋体"/>
                <w:kern w:val="0"/>
              </w:rPr>
              <w:t>12.7</w:t>
            </w:r>
          </w:p>
        </w:tc>
        <w:tc>
          <w:tcPr>
            <w:tcW w:w="992" w:type="dxa"/>
            <w:tcBorders>
              <w:bottom w:val="single" w:color="000000" w:sz="4" w:space="0"/>
            </w:tcBorders>
            <w:shd w:val="clear" w:color="auto" w:fill="auto"/>
            <w:vAlign w:val="center"/>
          </w:tcPr>
          <w:p w14:paraId="04916359">
            <w:pPr>
              <w:widowControl/>
              <w:spacing w:line="240" w:lineRule="auto"/>
              <w:jc w:val="center"/>
              <w:rPr>
                <w:rFonts w:hint="eastAsia" w:cs="宋体"/>
                <w:kern w:val="0"/>
              </w:rPr>
            </w:pPr>
            <w:r>
              <w:rPr>
                <w:rFonts w:hint="eastAsia"/>
                <w:szCs w:val="21"/>
              </w:rPr>
              <w:t>控制电脑</w:t>
            </w:r>
          </w:p>
        </w:tc>
        <w:tc>
          <w:tcPr>
            <w:tcW w:w="851" w:type="dxa"/>
            <w:tcBorders>
              <w:bottom w:val="single" w:color="000000" w:sz="4" w:space="0"/>
            </w:tcBorders>
            <w:vAlign w:val="center"/>
          </w:tcPr>
          <w:p w14:paraId="7CF893BA">
            <w:pPr>
              <w:rPr>
                <w:rFonts w:hint="eastAsia"/>
              </w:rPr>
            </w:pPr>
            <w:r>
              <w:rPr>
                <w:rFonts w:hint="eastAsia"/>
              </w:rPr>
              <w:t>台</w:t>
            </w:r>
          </w:p>
        </w:tc>
        <w:tc>
          <w:tcPr>
            <w:tcW w:w="850" w:type="dxa"/>
            <w:tcBorders>
              <w:bottom w:val="single" w:color="000000" w:sz="4" w:space="0"/>
            </w:tcBorders>
            <w:vAlign w:val="center"/>
          </w:tcPr>
          <w:p w14:paraId="7B4813E1">
            <w:pPr>
              <w:rPr>
                <w:rFonts w:hint="eastAsia"/>
              </w:rPr>
            </w:pPr>
            <w:r>
              <w:rPr>
                <w:rFonts w:hint="eastAsia"/>
              </w:rPr>
              <w:t>1</w:t>
            </w:r>
          </w:p>
        </w:tc>
        <w:tc>
          <w:tcPr>
            <w:tcW w:w="5528" w:type="dxa"/>
            <w:tcBorders>
              <w:bottom w:val="single" w:color="000000" w:sz="4" w:space="0"/>
            </w:tcBorders>
            <w:shd w:val="clear" w:color="auto" w:fill="auto"/>
            <w:vAlign w:val="center"/>
          </w:tcPr>
          <w:p w14:paraId="63770F54">
            <w:pPr>
              <w:pStyle w:val="74"/>
              <w:widowControl/>
              <w:numPr>
                <w:ilvl w:val="0"/>
                <w:numId w:val="21"/>
              </w:numPr>
              <w:spacing w:line="240" w:lineRule="auto"/>
              <w:ind w:firstLineChars="0"/>
              <w:rPr>
                <w:rFonts w:cs="宋体"/>
                <w:kern w:val="0"/>
                <w:szCs w:val="24"/>
              </w:rPr>
            </w:pPr>
            <w:r>
              <w:rPr>
                <w:rFonts w:hint="eastAsia" w:cs="宋体"/>
                <w:kern w:val="0"/>
                <w:szCs w:val="24"/>
              </w:rPr>
              <w:t>机型：分体机台式机工作站；</w:t>
            </w:r>
          </w:p>
          <w:p w14:paraId="62DA60A5">
            <w:pPr>
              <w:pStyle w:val="74"/>
              <w:widowControl/>
              <w:numPr>
                <w:ilvl w:val="0"/>
                <w:numId w:val="21"/>
              </w:numPr>
              <w:spacing w:line="240" w:lineRule="auto"/>
              <w:ind w:firstLineChars="0"/>
              <w:rPr>
                <w:rFonts w:cs="宋体"/>
                <w:kern w:val="0"/>
                <w:szCs w:val="24"/>
              </w:rPr>
            </w:pPr>
            <w:r>
              <w:rPr>
                <w:rFonts w:hint="eastAsia" w:cs="宋体"/>
                <w:kern w:val="0"/>
                <w:szCs w:val="24"/>
              </w:rPr>
              <w:t>处理器：≥Intel 12代酷睿 I5-12400处理器，≥6核12线程2.5GHz，≥三级缓存18M；</w:t>
            </w:r>
          </w:p>
          <w:p w14:paraId="1ACF5644">
            <w:pPr>
              <w:pStyle w:val="74"/>
              <w:widowControl/>
              <w:numPr>
                <w:ilvl w:val="0"/>
                <w:numId w:val="21"/>
              </w:numPr>
              <w:spacing w:line="240" w:lineRule="auto"/>
              <w:ind w:firstLineChars="0"/>
              <w:rPr>
                <w:rFonts w:cs="宋体"/>
                <w:kern w:val="0"/>
                <w:szCs w:val="24"/>
              </w:rPr>
            </w:pPr>
            <w:r>
              <w:rPr>
                <w:rFonts w:hint="eastAsia" w:cs="宋体"/>
                <w:kern w:val="0"/>
                <w:szCs w:val="24"/>
              </w:rPr>
              <w:t>▲主板：不低于Intel B760芯片组，主板自带蜂鸣器，借助蜂鸣器长短声音的组合，实现故障报警检测功能（提供</w:t>
            </w:r>
            <w:r>
              <w:rPr>
                <w:rFonts w:hint="eastAsia" w:cs="宋体"/>
                <w:kern w:val="0"/>
                <w:lang w:bidi="ar"/>
              </w:rPr>
              <w:t>加盖制造厂商公章的产品</w:t>
            </w:r>
            <w:r>
              <w:rPr>
                <w:rFonts w:hint="eastAsia" w:ascii="宋体" w:hAnsi="宋体" w:cs="宋体"/>
                <w:kern w:val="0"/>
                <w:szCs w:val="24"/>
                <w:lang w:bidi="ar"/>
              </w:rPr>
              <w:t>功能</w:t>
            </w:r>
            <w:r>
              <w:rPr>
                <w:rFonts w:hint="eastAsia" w:cs="宋体"/>
                <w:kern w:val="0"/>
                <w:szCs w:val="24"/>
              </w:rPr>
              <w:t>官网截图证明）；</w:t>
            </w:r>
          </w:p>
          <w:p w14:paraId="0A536D12">
            <w:pPr>
              <w:pStyle w:val="74"/>
              <w:widowControl/>
              <w:numPr>
                <w:ilvl w:val="0"/>
                <w:numId w:val="21"/>
              </w:numPr>
              <w:spacing w:line="240" w:lineRule="auto"/>
              <w:ind w:firstLineChars="0"/>
              <w:rPr>
                <w:rFonts w:cs="宋体"/>
                <w:kern w:val="0"/>
                <w:szCs w:val="24"/>
              </w:rPr>
            </w:pPr>
            <w:r>
              <w:rPr>
                <w:rFonts w:hint="eastAsia" w:cs="宋体"/>
                <w:kern w:val="0"/>
                <w:szCs w:val="24"/>
              </w:rPr>
              <w:t>内存：≥16GB DDR4，2根内存插槽，最大支持64GB DDR4 3200MHz内存；</w:t>
            </w:r>
          </w:p>
          <w:p w14:paraId="684E28A1">
            <w:pPr>
              <w:pStyle w:val="74"/>
              <w:widowControl/>
              <w:numPr>
                <w:ilvl w:val="0"/>
                <w:numId w:val="21"/>
              </w:numPr>
              <w:spacing w:line="240" w:lineRule="auto"/>
              <w:ind w:firstLineChars="0"/>
              <w:rPr>
                <w:rFonts w:cs="宋体"/>
                <w:kern w:val="0"/>
                <w:szCs w:val="24"/>
              </w:rPr>
            </w:pPr>
            <w:r>
              <w:rPr>
                <w:rFonts w:hint="eastAsia" w:cs="宋体"/>
                <w:kern w:val="0"/>
                <w:szCs w:val="24"/>
              </w:rPr>
              <w:t>硬盘：≥512G M.2 Nvme固态硬盘,读取速度：≥2800MB/s，写入速度：≥1800MB/s，缓存容量≥256M；</w:t>
            </w:r>
          </w:p>
          <w:p w14:paraId="2C598FC5">
            <w:pPr>
              <w:pStyle w:val="74"/>
              <w:widowControl/>
              <w:numPr>
                <w:ilvl w:val="0"/>
                <w:numId w:val="21"/>
              </w:numPr>
              <w:spacing w:line="240" w:lineRule="auto"/>
              <w:ind w:firstLineChars="0"/>
              <w:rPr>
                <w:rFonts w:cs="宋体"/>
                <w:kern w:val="0"/>
                <w:szCs w:val="24"/>
              </w:rPr>
            </w:pPr>
            <w:r>
              <w:rPr>
                <w:rFonts w:hint="eastAsia" w:cs="宋体"/>
                <w:kern w:val="0"/>
                <w:szCs w:val="24"/>
              </w:rPr>
              <w:t>显卡：≥2G独立显卡，显存位宽：≥64bit，显存频率≥1600MHz；</w:t>
            </w:r>
          </w:p>
          <w:p w14:paraId="53158B35">
            <w:pPr>
              <w:pStyle w:val="74"/>
              <w:widowControl/>
              <w:numPr>
                <w:ilvl w:val="0"/>
                <w:numId w:val="21"/>
              </w:numPr>
              <w:spacing w:line="240" w:lineRule="auto"/>
              <w:ind w:firstLineChars="0"/>
              <w:rPr>
                <w:rFonts w:cs="宋体"/>
                <w:kern w:val="0"/>
                <w:szCs w:val="24"/>
              </w:rPr>
            </w:pPr>
            <w:r>
              <w:rPr>
                <w:rFonts w:hint="eastAsia" w:cs="宋体"/>
                <w:kern w:val="0"/>
                <w:szCs w:val="24"/>
              </w:rPr>
              <w:t>音频：集成5.1声道声卡，支持前2后3音频接口；</w:t>
            </w:r>
            <w:r>
              <w:rPr>
                <w:rFonts w:hint="eastAsia" w:cs="宋体"/>
                <w:kern w:val="0"/>
              </w:rPr>
              <w:t>网卡：集成10/100/1000M自适应千兆网卡；</w:t>
            </w:r>
          </w:p>
          <w:p w14:paraId="508AA1DA">
            <w:pPr>
              <w:pStyle w:val="74"/>
              <w:widowControl/>
              <w:numPr>
                <w:ilvl w:val="0"/>
                <w:numId w:val="21"/>
              </w:numPr>
              <w:spacing w:line="240" w:lineRule="auto"/>
              <w:ind w:firstLineChars="0"/>
              <w:rPr>
                <w:rFonts w:cs="宋体"/>
                <w:kern w:val="0"/>
                <w:szCs w:val="24"/>
              </w:rPr>
            </w:pPr>
            <w:r>
              <w:rPr>
                <w:rFonts w:hint="eastAsia" w:cs="宋体"/>
                <w:kern w:val="0"/>
                <w:szCs w:val="24"/>
              </w:rPr>
              <w:t>I/O扩展槽：≥1个PCIe x16，≥2个PCIe x1,≥1个PCI；</w:t>
            </w:r>
          </w:p>
          <w:p w14:paraId="70BE1017">
            <w:pPr>
              <w:pStyle w:val="74"/>
              <w:widowControl/>
              <w:numPr>
                <w:ilvl w:val="0"/>
                <w:numId w:val="21"/>
              </w:numPr>
              <w:spacing w:line="240" w:lineRule="auto"/>
              <w:ind w:firstLineChars="0"/>
              <w:rPr>
                <w:rFonts w:cs="宋体"/>
                <w:kern w:val="0"/>
                <w:szCs w:val="24"/>
              </w:rPr>
            </w:pPr>
            <w:r>
              <w:rPr>
                <w:rFonts w:hint="eastAsia" w:cs="宋体"/>
                <w:kern w:val="0"/>
                <w:szCs w:val="24"/>
              </w:rPr>
              <w:t>M.2扩展槽：≥2个M.2；</w:t>
            </w:r>
          </w:p>
          <w:p w14:paraId="68F3B3DB">
            <w:pPr>
              <w:pStyle w:val="74"/>
              <w:widowControl/>
              <w:numPr>
                <w:ilvl w:val="0"/>
                <w:numId w:val="21"/>
              </w:numPr>
              <w:spacing w:line="240" w:lineRule="auto"/>
              <w:ind w:firstLineChars="0"/>
              <w:rPr>
                <w:rFonts w:cs="宋体"/>
                <w:kern w:val="0"/>
                <w:szCs w:val="24"/>
              </w:rPr>
            </w:pPr>
            <w:r>
              <w:rPr>
                <w:rFonts w:hint="eastAsia" w:cs="宋体"/>
                <w:kern w:val="0"/>
                <w:szCs w:val="24"/>
              </w:rPr>
              <w:t>USB接口：≥10个USB接口，至少6个USB3.2（其中后置2个USB3.2）；</w:t>
            </w:r>
          </w:p>
          <w:p w14:paraId="7F308F8E">
            <w:pPr>
              <w:pStyle w:val="74"/>
              <w:widowControl/>
              <w:numPr>
                <w:ilvl w:val="0"/>
                <w:numId w:val="21"/>
              </w:numPr>
              <w:spacing w:line="240" w:lineRule="auto"/>
              <w:ind w:firstLineChars="0"/>
              <w:rPr>
                <w:rFonts w:cs="宋体"/>
                <w:kern w:val="0"/>
                <w:szCs w:val="24"/>
              </w:rPr>
            </w:pPr>
            <w:r>
              <w:rPr>
                <w:rFonts w:hint="eastAsia" w:cs="宋体"/>
                <w:kern w:val="0"/>
                <w:szCs w:val="24"/>
              </w:rPr>
              <w:t>▲其他接口：主板原生不少于VGA + HDMI + DP 3个视频输出端口、1个原生串口、2个PS/2接口、1个RJ-45接口（提供</w:t>
            </w:r>
            <w:r>
              <w:rPr>
                <w:rFonts w:hint="eastAsia" w:cs="宋体"/>
                <w:kern w:val="0"/>
                <w:lang w:bidi="ar"/>
              </w:rPr>
              <w:t>加盖制造厂商公章的产品</w:t>
            </w:r>
            <w:r>
              <w:rPr>
                <w:rFonts w:hint="eastAsia" w:ascii="宋体" w:hAnsi="宋体" w:cs="宋体"/>
                <w:kern w:val="0"/>
                <w:szCs w:val="24"/>
                <w:lang w:bidi="ar"/>
              </w:rPr>
              <w:t>功能</w:t>
            </w:r>
            <w:r>
              <w:rPr>
                <w:rFonts w:hint="eastAsia" w:cs="宋体"/>
                <w:kern w:val="0"/>
                <w:szCs w:val="24"/>
              </w:rPr>
              <w:t>官网截图证明）；</w:t>
            </w:r>
          </w:p>
          <w:p w14:paraId="2D012196">
            <w:pPr>
              <w:pStyle w:val="74"/>
              <w:widowControl/>
              <w:numPr>
                <w:ilvl w:val="0"/>
                <w:numId w:val="21"/>
              </w:numPr>
              <w:spacing w:line="240" w:lineRule="auto"/>
              <w:ind w:firstLineChars="0"/>
              <w:rPr>
                <w:rFonts w:cs="宋体"/>
                <w:kern w:val="0"/>
                <w:szCs w:val="24"/>
              </w:rPr>
            </w:pPr>
            <w:r>
              <w:rPr>
                <w:rFonts w:hint="eastAsia" w:cs="宋体"/>
                <w:kern w:val="0"/>
                <w:szCs w:val="24"/>
              </w:rPr>
              <w:t>键盘鼠标：标准USB键盘鼠标；</w:t>
            </w:r>
          </w:p>
          <w:p w14:paraId="6B33944D">
            <w:pPr>
              <w:pStyle w:val="74"/>
              <w:widowControl/>
              <w:numPr>
                <w:ilvl w:val="0"/>
                <w:numId w:val="21"/>
              </w:numPr>
              <w:spacing w:line="240" w:lineRule="auto"/>
              <w:ind w:firstLineChars="0"/>
              <w:rPr>
                <w:rFonts w:cs="宋体"/>
                <w:kern w:val="0"/>
                <w:szCs w:val="24"/>
              </w:rPr>
            </w:pPr>
            <w:r>
              <w:rPr>
                <w:rFonts w:hint="eastAsia" w:cs="宋体"/>
                <w:kern w:val="0"/>
                <w:szCs w:val="24"/>
              </w:rPr>
              <w:t>电源：≥300W 节能电源；</w:t>
            </w:r>
          </w:p>
          <w:p w14:paraId="17A58CEF">
            <w:pPr>
              <w:pStyle w:val="74"/>
              <w:widowControl/>
              <w:numPr>
                <w:ilvl w:val="0"/>
                <w:numId w:val="21"/>
              </w:numPr>
              <w:spacing w:line="240" w:lineRule="auto"/>
              <w:ind w:firstLineChars="0"/>
              <w:rPr>
                <w:rFonts w:cs="宋体"/>
                <w:kern w:val="0"/>
                <w:szCs w:val="24"/>
              </w:rPr>
            </w:pPr>
            <w:r>
              <w:rPr>
                <w:rFonts w:hint="eastAsia" w:cs="宋体"/>
                <w:kern w:val="0"/>
                <w:szCs w:val="24"/>
              </w:rPr>
              <w:t>BIOS：简体中文；</w:t>
            </w:r>
          </w:p>
          <w:p w14:paraId="4DA7BF9D">
            <w:pPr>
              <w:pStyle w:val="74"/>
              <w:widowControl/>
              <w:numPr>
                <w:ilvl w:val="0"/>
                <w:numId w:val="21"/>
              </w:numPr>
              <w:spacing w:line="240" w:lineRule="auto"/>
              <w:ind w:firstLineChars="0"/>
              <w:rPr>
                <w:rFonts w:cs="宋体"/>
                <w:kern w:val="0"/>
                <w:szCs w:val="24"/>
              </w:rPr>
            </w:pPr>
            <w:r>
              <w:rPr>
                <w:rFonts w:hint="eastAsia" w:cs="宋体"/>
                <w:kern w:val="0"/>
                <w:szCs w:val="24"/>
              </w:rPr>
              <w:t>机箱：≥17L，顶置电源开关，前置可拆洗防尘罩；</w:t>
            </w:r>
          </w:p>
          <w:p w14:paraId="47086055">
            <w:pPr>
              <w:pStyle w:val="74"/>
              <w:widowControl/>
              <w:numPr>
                <w:ilvl w:val="0"/>
                <w:numId w:val="21"/>
              </w:numPr>
              <w:spacing w:line="240" w:lineRule="auto"/>
              <w:ind w:firstLineChars="0"/>
              <w:rPr>
                <w:rFonts w:cs="宋体"/>
                <w:kern w:val="0"/>
                <w:szCs w:val="24"/>
              </w:rPr>
            </w:pPr>
            <w:r>
              <w:rPr>
                <w:rFonts w:hint="eastAsia" w:cs="宋体"/>
                <w:kern w:val="0"/>
                <w:szCs w:val="24"/>
              </w:rPr>
              <w:t>操作系统：预装正版Windows 11操作系统；</w:t>
            </w:r>
          </w:p>
          <w:p w14:paraId="738C9655">
            <w:pPr>
              <w:pStyle w:val="74"/>
              <w:widowControl/>
              <w:numPr>
                <w:ilvl w:val="0"/>
                <w:numId w:val="21"/>
              </w:numPr>
              <w:spacing w:line="240" w:lineRule="auto"/>
              <w:ind w:firstLineChars="0"/>
              <w:rPr>
                <w:rFonts w:cs="宋体"/>
                <w:kern w:val="0"/>
                <w:szCs w:val="24"/>
              </w:rPr>
            </w:pPr>
            <w:r>
              <w:rPr>
                <w:rFonts w:hint="eastAsia" w:cs="宋体"/>
                <w:kern w:val="0"/>
                <w:szCs w:val="24"/>
              </w:rPr>
              <w:t>显示器：≥23.8吋低蓝光液晶显示器，分辨率≥1920x1080、亮度≥300cd/m²、刷新率≥100Hz、对比度≥4000：1、色域≥72%NTSC、可视角度≥178°/178°、VGA + HDMI + DP接口，带原厂HDMI 线缆、VESA标准安装孔，具备TUV低蓝光认证；</w:t>
            </w:r>
          </w:p>
          <w:p w14:paraId="3A675D6C">
            <w:pPr>
              <w:pStyle w:val="74"/>
              <w:widowControl/>
              <w:numPr>
                <w:ilvl w:val="0"/>
                <w:numId w:val="21"/>
              </w:numPr>
              <w:spacing w:line="240" w:lineRule="auto"/>
              <w:ind w:firstLineChars="0"/>
              <w:rPr>
                <w:rFonts w:cs="宋体"/>
                <w:kern w:val="0"/>
                <w:szCs w:val="24"/>
              </w:rPr>
            </w:pPr>
            <w:r>
              <w:rPr>
                <w:rFonts w:hint="eastAsia" w:cs="宋体"/>
                <w:kern w:val="0"/>
                <w:szCs w:val="24"/>
              </w:rPr>
              <w:t>服务：制造厂商</w:t>
            </w:r>
            <w:r>
              <w:rPr>
                <w:rFonts w:hint="eastAsia" w:ascii="宋体" w:hAnsi="宋体" w:cs="宋体"/>
                <w:kern w:val="0"/>
                <w:szCs w:val="24"/>
                <w:lang w:bidi="ar"/>
              </w:rPr>
              <w:t>承诺针对显示器和主机</w:t>
            </w:r>
            <w:r>
              <w:rPr>
                <w:rFonts w:hint="eastAsia" w:cs="宋体"/>
                <w:kern w:val="0"/>
                <w:lang w:bidi="ar"/>
              </w:rPr>
              <w:t>提供</w:t>
            </w:r>
            <w:r>
              <w:rPr>
                <w:rFonts w:hint="eastAsia" w:ascii="宋体" w:hAnsi="宋体" w:cs="宋体"/>
                <w:kern w:val="0"/>
                <w:szCs w:val="24"/>
                <w:lang w:bidi="ar"/>
              </w:rPr>
              <w:t>3年</w:t>
            </w:r>
            <w:r>
              <w:rPr>
                <w:rFonts w:hint="eastAsia" w:cs="宋体"/>
                <w:kern w:val="0"/>
                <w:lang w:bidi="ar"/>
              </w:rPr>
              <w:t>的</w:t>
            </w:r>
            <w:r>
              <w:rPr>
                <w:rFonts w:hint="eastAsia" w:ascii="宋体" w:hAnsi="宋体" w:cs="宋体"/>
                <w:kern w:val="0"/>
                <w:szCs w:val="24"/>
                <w:lang w:bidi="ar"/>
              </w:rPr>
              <w:t>保修及上门服务</w:t>
            </w:r>
          </w:p>
        </w:tc>
      </w:tr>
      <w:tr w14:paraId="1FCE59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4CEFEF1B">
            <w:pPr>
              <w:widowControl/>
              <w:spacing w:line="240" w:lineRule="auto"/>
              <w:jc w:val="center"/>
              <w:rPr>
                <w:rFonts w:hint="eastAsia" w:cs="宋体"/>
                <w:kern w:val="0"/>
              </w:rPr>
            </w:pPr>
            <w:r>
              <w:rPr>
                <w:rFonts w:hint="eastAsia" w:cs="宋体"/>
                <w:kern w:val="0"/>
              </w:rPr>
              <w:t>12.8</w:t>
            </w:r>
          </w:p>
        </w:tc>
        <w:tc>
          <w:tcPr>
            <w:tcW w:w="992" w:type="dxa"/>
            <w:tcBorders>
              <w:bottom w:val="single" w:color="000000" w:sz="4" w:space="0"/>
            </w:tcBorders>
            <w:shd w:val="clear" w:color="auto" w:fill="auto"/>
            <w:vAlign w:val="center"/>
          </w:tcPr>
          <w:p w14:paraId="062F0E9B">
            <w:pPr>
              <w:widowControl/>
              <w:spacing w:line="240" w:lineRule="auto"/>
              <w:jc w:val="center"/>
              <w:rPr>
                <w:rFonts w:hint="eastAsia" w:cs="宋体"/>
                <w:kern w:val="0"/>
              </w:rPr>
            </w:pPr>
            <w:r>
              <w:rPr>
                <w:rFonts w:hint="eastAsia"/>
                <w:szCs w:val="21"/>
              </w:rPr>
              <w:t>配电柜</w:t>
            </w:r>
          </w:p>
        </w:tc>
        <w:tc>
          <w:tcPr>
            <w:tcW w:w="851" w:type="dxa"/>
            <w:tcBorders>
              <w:bottom w:val="single" w:color="000000" w:sz="4" w:space="0"/>
            </w:tcBorders>
            <w:vAlign w:val="center"/>
          </w:tcPr>
          <w:p w14:paraId="6E8FE158">
            <w:pPr>
              <w:rPr>
                <w:rFonts w:hint="eastAsia"/>
              </w:rPr>
            </w:pPr>
            <w:r>
              <w:rPr>
                <w:rFonts w:hint="eastAsia"/>
              </w:rPr>
              <w:t>个</w:t>
            </w:r>
          </w:p>
        </w:tc>
        <w:tc>
          <w:tcPr>
            <w:tcW w:w="850" w:type="dxa"/>
            <w:tcBorders>
              <w:bottom w:val="single" w:color="000000" w:sz="4" w:space="0"/>
            </w:tcBorders>
            <w:vAlign w:val="center"/>
          </w:tcPr>
          <w:p w14:paraId="3A75E99D">
            <w:pPr>
              <w:rPr>
                <w:rFonts w:hint="eastAsia"/>
              </w:rPr>
            </w:pPr>
            <w:r>
              <w:rPr>
                <w:rFonts w:hint="eastAsia"/>
              </w:rPr>
              <w:t>1</w:t>
            </w:r>
          </w:p>
        </w:tc>
        <w:tc>
          <w:tcPr>
            <w:tcW w:w="5528" w:type="dxa"/>
            <w:tcBorders>
              <w:bottom w:val="single" w:color="000000" w:sz="4" w:space="0"/>
            </w:tcBorders>
            <w:shd w:val="clear" w:color="auto" w:fill="auto"/>
            <w:vAlign w:val="center"/>
          </w:tcPr>
          <w:p w14:paraId="6C3D856C">
            <w:pPr>
              <w:pStyle w:val="74"/>
              <w:widowControl/>
              <w:numPr>
                <w:ilvl w:val="0"/>
                <w:numId w:val="22"/>
              </w:numPr>
              <w:spacing w:line="240" w:lineRule="auto"/>
              <w:ind w:firstLineChars="0"/>
              <w:rPr>
                <w:rFonts w:cs="宋体"/>
                <w:kern w:val="0"/>
                <w:szCs w:val="24"/>
              </w:rPr>
            </w:pPr>
            <w:r>
              <w:rPr>
                <w:rFonts w:hint="eastAsia" w:cs="宋体"/>
                <w:kern w:val="0"/>
                <w:szCs w:val="24"/>
              </w:rPr>
              <w:t>壁挂安装，≥10KW，带远程上电、漏电保护。</w:t>
            </w:r>
          </w:p>
        </w:tc>
      </w:tr>
      <w:tr w14:paraId="4DCD7C8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6D91AC7C">
            <w:pPr>
              <w:widowControl/>
              <w:spacing w:line="240" w:lineRule="auto"/>
              <w:jc w:val="center"/>
              <w:rPr>
                <w:rFonts w:hint="eastAsia" w:cs="宋体"/>
                <w:kern w:val="0"/>
              </w:rPr>
            </w:pPr>
            <w:r>
              <w:rPr>
                <w:rFonts w:hint="eastAsia" w:cs="宋体"/>
                <w:kern w:val="0"/>
              </w:rPr>
              <w:t>12.9</w:t>
            </w:r>
          </w:p>
        </w:tc>
        <w:tc>
          <w:tcPr>
            <w:tcW w:w="992" w:type="dxa"/>
            <w:tcBorders>
              <w:bottom w:val="single" w:color="000000" w:sz="4" w:space="0"/>
            </w:tcBorders>
            <w:shd w:val="clear" w:color="auto" w:fill="auto"/>
            <w:vAlign w:val="center"/>
          </w:tcPr>
          <w:p w14:paraId="7775D02F">
            <w:pPr>
              <w:widowControl/>
              <w:spacing w:line="240" w:lineRule="auto"/>
              <w:jc w:val="center"/>
              <w:rPr>
                <w:rFonts w:hint="eastAsia" w:cs="宋体"/>
                <w:kern w:val="0"/>
              </w:rPr>
            </w:pPr>
            <w:r>
              <w:rPr>
                <w:rFonts w:hint="eastAsia"/>
                <w:szCs w:val="21"/>
              </w:rPr>
              <w:t>多功能卡</w:t>
            </w:r>
          </w:p>
        </w:tc>
        <w:tc>
          <w:tcPr>
            <w:tcW w:w="851" w:type="dxa"/>
            <w:tcBorders>
              <w:bottom w:val="single" w:color="000000" w:sz="4" w:space="0"/>
            </w:tcBorders>
            <w:vAlign w:val="center"/>
          </w:tcPr>
          <w:p w14:paraId="569D137F">
            <w:pPr>
              <w:rPr>
                <w:rFonts w:hint="eastAsia"/>
              </w:rPr>
            </w:pPr>
            <w:r>
              <w:rPr>
                <w:rFonts w:hint="eastAsia"/>
              </w:rPr>
              <w:t>张</w:t>
            </w:r>
          </w:p>
        </w:tc>
        <w:tc>
          <w:tcPr>
            <w:tcW w:w="850" w:type="dxa"/>
            <w:tcBorders>
              <w:bottom w:val="single" w:color="000000" w:sz="4" w:space="0"/>
            </w:tcBorders>
            <w:vAlign w:val="center"/>
          </w:tcPr>
          <w:p w14:paraId="22ADF2D6">
            <w:pPr>
              <w:rPr>
                <w:rFonts w:hint="eastAsia"/>
              </w:rPr>
            </w:pPr>
            <w:r>
              <w:rPr>
                <w:rFonts w:hint="eastAsia"/>
              </w:rPr>
              <w:t>1</w:t>
            </w:r>
          </w:p>
        </w:tc>
        <w:tc>
          <w:tcPr>
            <w:tcW w:w="5528" w:type="dxa"/>
            <w:tcBorders>
              <w:bottom w:val="single" w:color="000000" w:sz="4" w:space="0"/>
            </w:tcBorders>
            <w:shd w:val="clear" w:color="auto" w:fill="auto"/>
            <w:vAlign w:val="center"/>
          </w:tcPr>
          <w:p w14:paraId="17658BE3">
            <w:pPr>
              <w:pStyle w:val="74"/>
              <w:widowControl/>
              <w:numPr>
                <w:ilvl w:val="0"/>
                <w:numId w:val="23"/>
              </w:numPr>
              <w:spacing w:line="240" w:lineRule="auto"/>
              <w:ind w:firstLineChars="0"/>
              <w:rPr>
                <w:rFonts w:cs="宋体"/>
                <w:kern w:val="0"/>
                <w:szCs w:val="24"/>
              </w:rPr>
            </w:pPr>
            <w:r>
              <w:rPr>
                <w:rFonts w:hint="eastAsia" w:cs="宋体"/>
                <w:kern w:val="0"/>
                <w:szCs w:val="24"/>
              </w:rPr>
              <w:t>使用 RS232 串口或千兆网口通信；</w:t>
            </w:r>
          </w:p>
          <w:p w14:paraId="751479B5">
            <w:pPr>
              <w:pStyle w:val="74"/>
              <w:widowControl/>
              <w:numPr>
                <w:ilvl w:val="0"/>
                <w:numId w:val="23"/>
              </w:numPr>
              <w:spacing w:line="240" w:lineRule="auto"/>
              <w:ind w:firstLineChars="0"/>
              <w:rPr>
                <w:rFonts w:cs="宋体"/>
                <w:kern w:val="0"/>
                <w:szCs w:val="24"/>
              </w:rPr>
            </w:pPr>
            <w:r>
              <w:rPr>
                <w:rFonts w:hint="eastAsia" w:cs="宋体"/>
                <w:kern w:val="0"/>
                <w:szCs w:val="24"/>
              </w:rPr>
              <w:t>支持用网口级联在接收卡之间或最后；</w:t>
            </w:r>
          </w:p>
          <w:p w14:paraId="536B862B">
            <w:pPr>
              <w:pStyle w:val="74"/>
              <w:widowControl/>
              <w:numPr>
                <w:ilvl w:val="0"/>
                <w:numId w:val="23"/>
              </w:numPr>
              <w:spacing w:line="240" w:lineRule="auto"/>
              <w:ind w:firstLineChars="0"/>
              <w:rPr>
                <w:rFonts w:cs="宋体"/>
                <w:kern w:val="0"/>
                <w:szCs w:val="24"/>
              </w:rPr>
            </w:pPr>
            <w:r>
              <w:rPr>
                <w:rFonts w:hint="eastAsia" w:cs="宋体"/>
                <w:kern w:val="0"/>
                <w:szCs w:val="24"/>
              </w:rPr>
              <w:t>具有定时功能，可以替代定时器和延时器；</w:t>
            </w:r>
          </w:p>
          <w:p w14:paraId="176DB9EC">
            <w:pPr>
              <w:pStyle w:val="74"/>
              <w:widowControl/>
              <w:numPr>
                <w:ilvl w:val="0"/>
                <w:numId w:val="23"/>
              </w:numPr>
              <w:spacing w:line="240" w:lineRule="auto"/>
              <w:ind w:firstLineChars="0"/>
              <w:rPr>
                <w:rFonts w:cs="宋体"/>
                <w:kern w:val="0"/>
                <w:szCs w:val="24"/>
              </w:rPr>
            </w:pPr>
            <w:r>
              <w:rPr>
                <w:rFonts w:hint="eastAsia" w:cs="宋体"/>
                <w:kern w:val="0"/>
                <w:szCs w:val="24"/>
              </w:rPr>
              <w:t>支持配电箱温度检测；</w:t>
            </w:r>
            <w:r>
              <w:rPr>
                <w:rFonts w:hint="eastAsia" w:cs="宋体"/>
                <w:kern w:val="0"/>
              </w:rPr>
              <w:t>支持配电箱湿度检测；</w:t>
            </w:r>
          </w:p>
          <w:p w14:paraId="25322FB5">
            <w:pPr>
              <w:pStyle w:val="74"/>
              <w:widowControl/>
              <w:numPr>
                <w:ilvl w:val="0"/>
                <w:numId w:val="23"/>
              </w:numPr>
              <w:spacing w:line="240" w:lineRule="auto"/>
              <w:ind w:firstLineChars="0"/>
              <w:rPr>
                <w:rFonts w:cs="宋体"/>
                <w:kern w:val="0"/>
                <w:szCs w:val="24"/>
              </w:rPr>
            </w:pPr>
            <w:r>
              <w:rPr>
                <w:rFonts w:hint="eastAsia" w:cs="宋体"/>
                <w:kern w:val="0"/>
                <w:szCs w:val="24"/>
              </w:rPr>
              <w:t>支持音频输出；</w:t>
            </w:r>
            <w:r>
              <w:rPr>
                <w:rFonts w:hint="eastAsia" w:cs="宋体"/>
                <w:kern w:val="0"/>
              </w:rPr>
              <w:t>支持至少接4路光探头实现自动亮度调节；</w:t>
            </w:r>
            <w:r>
              <w:rPr>
                <w:rFonts w:hint="eastAsia" w:cs="宋体"/>
                <w:kern w:val="0"/>
                <w:szCs w:val="24"/>
              </w:rPr>
              <w:t>支持外接温度模块；</w:t>
            </w:r>
            <w:r>
              <w:rPr>
                <w:rFonts w:hint="eastAsia" w:cs="宋体"/>
                <w:kern w:val="0"/>
              </w:rPr>
              <w:t>支持≥8路电源开关控制。</w:t>
            </w:r>
          </w:p>
        </w:tc>
      </w:tr>
      <w:tr w14:paraId="7B5FA2E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7931CE33">
            <w:pPr>
              <w:widowControl/>
              <w:spacing w:line="240" w:lineRule="auto"/>
              <w:jc w:val="center"/>
              <w:rPr>
                <w:rFonts w:hint="eastAsia" w:cs="宋体"/>
                <w:kern w:val="0"/>
              </w:rPr>
            </w:pPr>
            <w:r>
              <w:rPr>
                <w:rFonts w:hint="eastAsia" w:cs="宋体"/>
                <w:kern w:val="0"/>
              </w:rPr>
              <w:t>12.10</w:t>
            </w:r>
          </w:p>
        </w:tc>
        <w:tc>
          <w:tcPr>
            <w:tcW w:w="992" w:type="dxa"/>
            <w:tcBorders>
              <w:bottom w:val="single" w:color="000000" w:sz="4" w:space="0"/>
            </w:tcBorders>
            <w:shd w:val="clear" w:color="auto" w:fill="auto"/>
            <w:vAlign w:val="center"/>
          </w:tcPr>
          <w:p w14:paraId="4AE9B49B">
            <w:pPr>
              <w:widowControl/>
              <w:spacing w:line="240" w:lineRule="auto"/>
              <w:jc w:val="center"/>
              <w:rPr>
                <w:rFonts w:hint="eastAsia" w:cs="宋体"/>
                <w:kern w:val="0"/>
              </w:rPr>
            </w:pPr>
            <w:r>
              <w:rPr>
                <w:rFonts w:hint="eastAsia"/>
                <w:szCs w:val="21"/>
              </w:rPr>
              <w:t>机柜</w:t>
            </w:r>
          </w:p>
        </w:tc>
        <w:tc>
          <w:tcPr>
            <w:tcW w:w="851" w:type="dxa"/>
            <w:tcBorders>
              <w:bottom w:val="single" w:color="000000" w:sz="4" w:space="0"/>
            </w:tcBorders>
            <w:vAlign w:val="center"/>
          </w:tcPr>
          <w:p w14:paraId="777773E2">
            <w:pPr>
              <w:rPr>
                <w:rFonts w:hint="eastAsia"/>
              </w:rPr>
            </w:pPr>
            <w:r>
              <w:rPr>
                <w:rFonts w:hint="eastAsia"/>
              </w:rPr>
              <w:t>个</w:t>
            </w:r>
          </w:p>
        </w:tc>
        <w:tc>
          <w:tcPr>
            <w:tcW w:w="850" w:type="dxa"/>
            <w:tcBorders>
              <w:bottom w:val="single" w:color="000000" w:sz="4" w:space="0"/>
            </w:tcBorders>
            <w:vAlign w:val="center"/>
          </w:tcPr>
          <w:p w14:paraId="32B27BBD">
            <w:pPr>
              <w:rPr>
                <w:rFonts w:hint="eastAsia"/>
              </w:rPr>
            </w:pPr>
            <w:r>
              <w:rPr>
                <w:rFonts w:hint="eastAsia"/>
              </w:rPr>
              <w:t>1</w:t>
            </w:r>
          </w:p>
        </w:tc>
        <w:tc>
          <w:tcPr>
            <w:tcW w:w="5528" w:type="dxa"/>
            <w:tcBorders>
              <w:bottom w:val="single" w:color="000000" w:sz="4" w:space="0"/>
            </w:tcBorders>
            <w:shd w:val="clear" w:color="auto" w:fill="auto"/>
            <w:vAlign w:val="center"/>
          </w:tcPr>
          <w:p w14:paraId="213B6AFA">
            <w:pPr>
              <w:pStyle w:val="74"/>
              <w:widowControl/>
              <w:numPr>
                <w:ilvl w:val="0"/>
                <w:numId w:val="24"/>
              </w:numPr>
              <w:spacing w:line="240" w:lineRule="auto"/>
              <w:ind w:firstLineChars="0"/>
              <w:rPr>
                <w:rFonts w:cs="宋体"/>
                <w:kern w:val="0"/>
                <w:szCs w:val="24"/>
              </w:rPr>
            </w:pPr>
            <w:r>
              <w:rPr>
                <w:rFonts w:hint="eastAsia" w:cs="宋体"/>
                <w:kern w:val="0"/>
                <w:szCs w:val="24"/>
              </w:rPr>
              <w:t>钣金结构，19英寸标准机架式机柜，24U；</w:t>
            </w:r>
          </w:p>
          <w:p w14:paraId="3C36CFF1">
            <w:pPr>
              <w:pStyle w:val="74"/>
              <w:widowControl/>
              <w:numPr>
                <w:ilvl w:val="0"/>
                <w:numId w:val="24"/>
              </w:numPr>
              <w:spacing w:line="240" w:lineRule="auto"/>
              <w:ind w:firstLineChars="0"/>
              <w:rPr>
                <w:rFonts w:cs="宋体"/>
                <w:kern w:val="0"/>
                <w:szCs w:val="24"/>
              </w:rPr>
            </w:pPr>
            <w:r>
              <w:rPr>
                <w:rFonts w:hint="eastAsia" w:cs="宋体"/>
                <w:kern w:val="0"/>
              </w:rPr>
              <w:t>外形尺寸：高1200mmX宽600mmX深度800mm。</w:t>
            </w:r>
          </w:p>
        </w:tc>
      </w:tr>
      <w:tr w14:paraId="576818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27D0FE49">
            <w:pPr>
              <w:widowControl/>
              <w:spacing w:line="240" w:lineRule="auto"/>
              <w:jc w:val="center"/>
              <w:rPr>
                <w:rFonts w:hint="eastAsia" w:cs="宋体"/>
                <w:kern w:val="0"/>
              </w:rPr>
            </w:pPr>
            <w:r>
              <w:rPr>
                <w:rFonts w:hint="eastAsia" w:cs="宋体"/>
                <w:kern w:val="0"/>
              </w:rPr>
              <w:t>12.11</w:t>
            </w:r>
          </w:p>
        </w:tc>
        <w:tc>
          <w:tcPr>
            <w:tcW w:w="992" w:type="dxa"/>
            <w:tcBorders>
              <w:bottom w:val="single" w:color="000000" w:sz="4" w:space="0"/>
            </w:tcBorders>
            <w:shd w:val="clear" w:color="auto" w:fill="auto"/>
            <w:vAlign w:val="center"/>
          </w:tcPr>
          <w:p w14:paraId="7C31E9EF">
            <w:pPr>
              <w:widowControl/>
              <w:spacing w:line="240" w:lineRule="auto"/>
              <w:jc w:val="center"/>
              <w:rPr>
                <w:rFonts w:hint="eastAsia" w:cs="宋体"/>
                <w:kern w:val="0"/>
              </w:rPr>
            </w:pPr>
            <w:r>
              <w:rPr>
                <w:rFonts w:hint="eastAsia"/>
                <w:szCs w:val="21"/>
              </w:rPr>
              <w:t>安装线材及辅件</w:t>
            </w:r>
          </w:p>
        </w:tc>
        <w:tc>
          <w:tcPr>
            <w:tcW w:w="851" w:type="dxa"/>
            <w:tcBorders>
              <w:bottom w:val="single" w:color="000000" w:sz="4" w:space="0"/>
            </w:tcBorders>
            <w:vAlign w:val="center"/>
          </w:tcPr>
          <w:p w14:paraId="05ACBA22">
            <w:pPr>
              <w:rPr>
                <w:rFonts w:hint="eastAsia"/>
              </w:rPr>
            </w:pPr>
            <w:bookmarkStart w:id="97" w:name="OLE_LINK7"/>
            <w:bookmarkStart w:id="98" w:name="OLE_LINK8"/>
            <w:r>
              <w:rPr>
                <w:rFonts w:hint="eastAsia"/>
              </w:rPr>
              <w:t>项</w:t>
            </w:r>
            <w:bookmarkEnd w:id="97"/>
            <w:bookmarkEnd w:id="98"/>
          </w:p>
        </w:tc>
        <w:tc>
          <w:tcPr>
            <w:tcW w:w="850" w:type="dxa"/>
            <w:tcBorders>
              <w:bottom w:val="single" w:color="000000" w:sz="4" w:space="0"/>
            </w:tcBorders>
            <w:vAlign w:val="center"/>
          </w:tcPr>
          <w:p w14:paraId="54DED80D">
            <w:pPr>
              <w:rPr>
                <w:rFonts w:hint="eastAsia"/>
              </w:rPr>
            </w:pPr>
            <w:r>
              <w:rPr>
                <w:rFonts w:hint="eastAsia"/>
              </w:rPr>
              <w:t>1</w:t>
            </w:r>
          </w:p>
        </w:tc>
        <w:tc>
          <w:tcPr>
            <w:tcW w:w="5528" w:type="dxa"/>
            <w:tcBorders>
              <w:bottom w:val="single" w:color="000000" w:sz="4" w:space="0"/>
            </w:tcBorders>
            <w:shd w:val="clear" w:color="auto" w:fill="auto"/>
            <w:vAlign w:val="center"/>
          </w:tcPr>
          <w:p w14:paraId="42CE1BCB">
            <w:pPr>
              <w:pStyle w:val="74"/>
              <w:widowControl/>
              <w:numPr>
                <w:ilvl w:val="0"/>
                <w:numId w:val="25"/>
              </w:numPr>
              <w:spacing w:line="240" w:lineRule="auto"/>
              <w:ind w:firstLineChars="0"/>
              <w:rPr>
                <w:rFonts w:cs="宋体"/>
                <w:kern w:val="0"/>
                <w:szCs w:val="24"/>
              </w:rPr>
            </w:pPr>
            <w:r>
              <w:rPr>
                <w:rFonts w:hint="eastAsia" w:cs="宋体"/>
                <w:kern w:val="0"/>
                <w:szCs w:val="24"/>
              </w:rPr>
              <w:t>设备之间的连线、水晶头、轧带等。</w:t>
            </w:r>
          </w:p>
        </w:tc>
      </w:tr>
      <w:tr w14:paraId="0A66DBD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493521C0">
            <w:pPr>
              <w:widowControl/>
              <w:spacing w:line="240" w:lineRule="auto"/>
              <w:jc w:val="center"/>
              <w:rPr>
                <w:rFonts w:hint="eastAsia" w:cs="宋体"/>
                <w:kern w:val="0"/>
              </w:rPr>
            </w:pPr>
            <w:r>
              <w:rPr>
                <w:rFonts w:hint="eastAsia" w:cs="宋体"/>
                <w:kern w:val="0"/>
              </w:rPr>
              <w:t>12.12</w:t>
            </w:r>
          </w:p>
        </w:tc>
        <w:tc>
          <w:tcPr>
            <w:tcW w:w="992" w:type="dxa"/>
            <w:tcBorders>
              <w:bottom w:val="single" w:color="000000" w:sz="4" w:space="0"/>
            </w:tcBorders>
            <w:shd w:val="clear" w:color="auto" w:fill="auto"/>
            <w:vAlign w:val="center"/>
          </w:tcPr>
          <w:p w14:paraId="166CBBCF">
            <w:pPr>
              <w:widowControl/>
              <w:spacing w:line="240" w:lineRule="auto"/>
              <w:jc w:val="center"/>
              <w:rPr>
                <w:rFonts w:hint="eastAsia" w:cs="宋体"/>
                <w:kern w:val="0"/>
              </w:rPr>
            </w:pPr>
            <w:r>
              <w:rPr>
                <w:rFonts w:hint="eastAsia"/>
                <w:szCs w:val="21"/>
              </w:rPr>
              <w:t>动力电布线</w:t>
            </w:r>
          </w:p>
        </w:tc>
        <w:tc>
          <w:tcPr>
            <w:tcW w:w="851" w:type="dxa"/>
            <w:tcBorders>
              <w:bottom w:val="single" w:color="000000" w:sz="4" w:space="0"/>
            </w:tcBorders>
            <w:vAlign w:val="center"/>
          </w:tcPr>
          <w:p w14:paraId="0147238C">
            <w:pPr>
              <w:rPr>
                <w:rFonts w:hint="eastAsia"/>
              </w:rPr>
            </w:pPr>
            <w:r>
              <w:rPr>
                <w:rFonts w:hint="eastAsia"/>
              </w:rPr>
              <w:t>项</w:t>
            </w:r>
          </w:p>
        </w:tc>
        <w:tc>
          <w:tcPr>
            <w:tcW w:w="850" w:type="dxa"/>
            <w:tcBorders>
              <w:bottom w:val="single" w:color="000000" w:sz="4" w:space="0"/>
            </w:tcBorders>
            <w:vAlign w:val="center"/>
          </w:tcPr>
          <w:p w14:paraId="7F6ADF8C">
            <w:pPr>
              <w:rPr>
                <w:rFonts w:hint="eastAsia"/>
              </w:rPr>
            </w:pPr>
            <w:r>
              <w:rPr>
                <w:rFonts w:hint="eastAsia"/>
              </w:rPr>
              <w:t>1</w:t>
            </w:r>
          </w:p>
        </w:tc>
        <w:tc>
          <w:tcPr>
            <w:tcW w:w="5528" w:type="dxa"/>
            <w:tcBorders>
              <w:bottom w:val="single" w:color="000000" w:sz="4" w:space="0"/>
            </w:tcBorders>
            <w:shd w:val="clear" w:color="auto" w:fill="auto"/>
            <w:vAlign w:val="center"/>
          </w:tcPr>
          <w:p w14:paraId="21C4954C">
            <w:pPr>
              <w:pStyle w:val="74"/>
              <w:widowControl/>
              <w:numPr>
                <w:ilvl w:val="0"/>
                <w:numId w:val="26"/>
              </w:numPr>
              <w:spacing w:line="240" w:lineRule="auto"/>
              <w:ind w:firstLineChars="0"/>
              <w:rPr>
                <w:rFonts w:cs="宋体"/>
                <w:kern w:val="0"/>
                <w:szCs w:val="24"/>
              </w:rPr>
            </w:pPr>
            <w:r>
              <w:rPr>
                <w:rFonts w:hint="eastAsia" w:cs="宋体"/>
                <w:kern w:val="0"/>
                <w:szCs w:val="24"/>
              </w:rPr>
              <w:t>纯无氧铜电缆；</w:t>
            </w:r>
            <w:r>
              <w:rPr>
                <w:rFonts w:hint="eastAsia" w:cs="宋体"/>
                <w:kern w:val="0"/>
              </w:rPr>
              <w:t>根据需求布线至机柜处。</w:t>
            </w:r>
          </w:p>
        </w:tc>
      </w:tr>
      <w:tr w14:paraId="026AF03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04AD2312">
            <w:pPr>
              <w:widowControl/>
              <w:spacing w:line="240" w:lineRule="auto"/>
              <w:jc w:val="center"/>
              <w:rPr>
                <w:rFonts w:hint="eastAsia" w:cs="宋体"/>
                <w:kern w:val="0"/>
              </w:rPr>
            </w:pPr>
            <w:r>
              <w:rPr>
                <w:rFonts w:hint="eastAsia" w:cs="宋体"/>
                <w:kern w:val="0"/>
              </w:rPr>
              <w:t>12.13</w:t>
            </w:r>
          </w:p>
        </w:tc>
        <w:tc>
          <w:tcPr>
            <w:tcW w:w="992" w:type="dxa"/>
            <w:tcBorders>
              <w:bottom w:val="single" w:color="000000" w:sz="4" w:space="0"/>
            </w:tcBorders>
            <w:shd w:val="clear" w:color="auto" w:fill="auto"/>
            <w:vAlign w:val="center"/>
          </w:tcPr>
          <w:p w14:paraId="55FD7321">
            <w:pPr>
              <w:widowControl/>
              <w:spacing w:line="240" w:lineRule="auto"/>
              <w:jc w:val="center"/>
              <w:rPr>
                <w:rFonts w:hint="eastAsia" w:cs="宋体"/>
                <w:kern w:val="0"/>
              </w:rPr>
            </w:pPr>
            <w:r>
              <w:rPr>
                <w:rFonts w:hint="eastAsia"/>
                <w:szCs w:val="21"/>
              </w:rPr>
              <w:t>信号布线</w:t>
            </w:r>
          </w:p>
        </w:tc>
        <w:tc>
          <w:tcPr>
            <w:tcW w:w="851" w:type="dxa"/>
            <w:tcBorders>
              <w:bottom w:val="single" w:color="000000" w:sz="4" w:space="0"/>
            </w:tcBorders>
            <w:vAlign w:val="center"/>
          </w:tcPr>
          <w:p w14:paraId="1FC577DE">
            <w:pPr>
              <w:rPr>
                <w:rFonts w:hint="eastAsia"/>
              </w:rPr>
            </w:pPr>
            <w:r>
              <w:rPr>
                <w:rFonts w:hint="eastAsia"/>
              </w:rPr>
              <w:t>项</w:t>
            </w:r>
          </w:p>
        </w:tc>
        <w:tc>
          <w:tcPr>
            <w:tcW w:w="850" w:type="dxa"/>
            <w:tcBorders>
              <w:bottom w:val="single" w:color="000000" w:sz="4" w:space="0"/>
            </w:tcBorders>
            <w:vAlign w:val="center"/>
          </w:tcPr>
          <w:p w14:paraId="73AED629">
            <w:pPr>
              <w:rPr>
                <w:rFonts w:hint="eastAsia"/>
              </w:rPr>
            </w:pPr>
            <w:r>
              <w:rPr>
                <w:rFonts w:hint="eastAsia"/>
              </w:rPr>
              <w:t>1</w:t>
            </w:r>
          </w:p>
        </w:tc>
        <w:tc>
          <w:tcPr>
            <w:tcW w:w="5528" w:type="dxa"/>
            <w:tcBorders>
              <w:bottom w:val="single" w:color="000000" w:sz="4" w:space="0"/>
            </w:tcBorders>
            <w:shd w:val="clear" w:color="auto" w:fill="auto"/>
            <w:vAlign w:val="center"/>
          </w:tcPr>
          <w:p w14:paraId="53B9E025">
            <w:pPr>
              <w:pStyle w:val="74"/>
              <w:widowControl/>
              <w:numPr>
                <w:ilvl w:val="0"/>
                <w:numId w:val="27"/>
              </w:numPr>
              <w:spacing w:line="240" w:lineRule="auto"/>
              <w:ind w:firstLineChars="0"/>
              <w:rPr>
                <w:rFonts w:cs="宋体"/>
                <w:kern w:val="0"/>
                <w:szCs w:val="24"/>
              </w:rPr>
            </w:pPr>
            <w:r>
              <w:rPr>
                <w:rFonts w:hint="eastAsia" w:cs="宋体"/>
                <w:kern w:val="0"/>
                <w:szCs w:val="24"/>
              </w:rPr>
              <w:t>根据需求布线至机柜处。</w:t>
            </w:r>
          </w:p>
        </w:tc>
      </w:tr>
      <w:tr w14:paraId="6FF225E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14573226">
            <w:pPr>
              <w:widowControl/>
              <w:spacing w:line="240" w:lineRule="auto"/>
              <w:jc w:val="center"/>
              <w:rPr>
                <w:rFonts w:hint="eastAsia" w:cs="宋体"/>
                <w:kern w:val="0"/>
              </w:rPr>
            </w:pPr>
            <w:r>
              <w:rPr>
                <w:rFonts w:hint="eastAsia" w:cs="宋体"/>
                <w:kern w:val="0"/>
              </w:rPr>
              <w:t>12.14</w:t>
            </w:r>
          </w:p>
        </w:tc>
        <w:tc>
          <w:tcPr>
            <w:tcW w:w="992" w:type="dxa"/>
            <w:tcBorders>
              <w:bottom w:val="single" w:color="000000" w:sz="4" w:space="0"/>
            </w:tcBorders>
            <w:shd w:val="clear" w:color="auto" w:fill="auto"/>
            <w:vAlign w:val="center"/>
          </w:tcPr>
          <w:p w14:paraId="2C86C770">
            <w:pPr>
              <w:widowControl/>
              <w:spacing w:line="240" w:lineRule="auto"/>
              <w:jc w:val="center"/>
              <w:rPr>
                <w:rFonts w:hint="eastAsia" w:cs="宋体"/>
                <w:kern w:val="0"/>
              </w:rPr>
            </w:pPr>
            <w:r>
              <w:rPr>
                <w:rFonts w:hint="eastAsia"/>
                <w:szCs w:val="21"/>
              </w:rPr>
              <w:t>安装调试费</w:t>
            </w:r>
          </w:p>
        </w:tc>
        <w:tc>
          <w:tcPr>
            <w:tcW w:w="851" w:type="dxa"/>
            <w:tcBorders>
              <w:bottom w:val="single" w:color="000000" w:sz="4" w:space="0"/>
            </w:tcBorders>
            <w:vAlign w:val="center"/>
          </w:tcPr>
          <w:p w14:paraId="7C1550BA">
            <w:pPr>
              <w:rPr>
                <w:rFonts w:hint="eastAsia"/>
              </w:rPr>
            </w:pPr>
            <w:r>
              <w:rPr>
                <w:rFonts w:hint="eastAsia"/>
              </w:rPr>
              <w:t>㎡</w:t>
            </w:r>
          </w:p>
        </w:tc>
        <w:tc>
          <w:tcPr>
            <w:tcW w:w="850" w:type="dxa"/>
            <w:tcBorders>
              <w:bottom w:val="single" w:color="000000" w:sz="4" w:space="0"/>
            </w:tcBorders>
            <w:vAlign w:val="center"/>
          </w:tcPr>
          <w:p w14:paraId="67C1F10C">
            <w:pPr>
              <w:rPr>
                <w:rFonts w:hint="eastAsia"/>
              </w:rPr>
            </w:pPr>
            <w:r>
              <w:rPr>
                <w:rFonts w:hint="eastAsia"/>
              </w:rPr>
              <w:t>15.36</w:t>
            </w:r>
          </w:p>
        </w:tc>
        <w:tc>
          <w:tcPr>
            <w:tcW w:w="5528" w:type="dxa"/>
            <w:tcBorders>
              <w:bottom w:val="single" w:color="000000" w:sz="4" w:space="0"/>
            </w:tcBorders>
            <w:shd w:val="clear" w:color="auto" w:fill="auto"/>
            <w:vAlign w:val="center"/>
          </w:tcPr>
          <w:p w14:paraId="734C65E3">
            <w:pPr>
              <w:pStyle w:val="74"/>
              <w:widowControl/>
              <w:numPr>
                <w:ilvl w:val="0"/>
                <w:numId w:val="28"/>
              </w:numPr>
              <w:spacing w:line="240" w:lineRule="auto"/>
              <w:ind w:firstLineChars="0"/>
              <w:rPr>
                <w:rFonts w:cs="宋体"/>
                <w:kern w:val="0"/>
                <w:szCs w:val="24"/>
              </w:rPr>
            </w:pPr>
            <w:r>
              <w:rPr>
                <w:rFonts w:hint="eastAsia" w:cs="宋体"/>
                <w:kern w:val="0"/>
                <w:szCs w:val="24"/>
              </w:rPr>
              <w:t>整体项目集成实施服务。</w:t>
            </w:r>
          </w:p>
        </w:tc>
      </w:tr>
      <w:tr w14:paraId="4C8B0F5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846" w:type="dxa"/>
            <w:tcBorders>
              <w:bottom w:val="single" w:color="000000" w:sz="4" w:space="0"/>
            </w:tcBorders>
            <w:shd w:val="clear" w:color="auto" w:fill="auto"/>
            <w:vAlign w:val="center"/>
          </w:tcPr>
          <w:p w14:paraId="7A512F23">
            <w:pPr>
              <w:widowControl/>
              <w:spacing w:line="240" w:lineRule="auto"/>
              <w:jc w:val="center"/>
              <w:rPr>
                <w:rFonts w:hint="eastAsia" w:cs="宋体"/>
                <w:kern w:val="0"/>
              </w:rPr>
            </w:pPr>
            <w:r>
              <w:rPr>
                <w:rFonts w:hint="eastAsia" w:cs="宋体"/>
                <w:kern w:val="0"/>
              </w:rPr>
              <w:t>12.15</w:t>
            </w:r>
          </w:p>
        </w:tc>
        <w:tc>
          <w:tcPr>
            <w:tcW w:w="992" w:type="dxa"/>
            <w:tcBorders>
              <w:bottom w:val="single" w:color="000000" w:sz="4" w:space="0"/>
            </w:tcBorders>
            <w:shd w:val="clear" w:color="auto" w:fill="auto"/>
            <w:vAlign w:val="center"/>
          </w:tcPr>
          <w:p w14:paraId="592B8BB0">
            <w:pPr>
              <w:widowControl/>
              <w:spacing w:line="240" w:lineRule="auto"/>
              <w:jc w:val="center"/>
              <w:rPr>
                <w:rFonts w:hint="eastAsia" w:cs="宋体"/>
                <w:kern w:val="0"/>
              </w:rPr>
            </w:pPr>
            <w:r>
              <w:rPr>
                <w:rFonts w:hint="eastAsia"/>
                <w:szCs w:val="21"/>
              </w:rPr>
              <w:t>运输、保险费</w:t>
            </w:r>
          </w:p>
        </w:tc>
        <w:tc>
          <w:tcPr>
            <w:tcW w:w="851" w:type="dxa"/>
            <w:tcBorders>
              <w:bottom w:val="single" w:color="000000" w:sz="4" w:space="0"/>
            </w:tcBorders>
            <w:vAlign w:val="center"/>
          </w:tcPr>
          <w:p w14:paraId="4BC6B6C4">
            <w:pPr>
              <w:rPr>
                <w:rFonts w:hint="eastAsia"/>
              </w:rPr>
            </w:pPr>
            <w:r>
              <w:rPr>
                <w:rFonts w:hint="eastAsia"/>
              </w:rPr>
              <w:t>项</w:t>
            </w:r>
          </w:p>
        </w:tc>
        <w:tc>
          <w:tcPr>
            <w:tcW w:w="850" w:type="dxa"/>
            <w:tcBorders>
              <w:bottom w:val="single" w:color="000000" w:sz="4" w:space="0"/>
            </w:tcBorders>
            <w:vAlign w:val="center"/>
          </w:tcPr>
          <w:p w14:paraId="0C89E6CB">
            <w:pPr>
              <w:rPr>
                <w:rFonts w:hint="eastAsia"/>
              </w:rPr>
            </w:pPr>
            <w:r>
              <w:rPr>
                <w:rFonts w:hint="eastAsia"/>
              </w:rPr>
              <w:t>1</w:t>
            </w:r>
          </w:p>
        </w:tc>
        <w:tc>
          <w:tcPr>
            <w:tcW w:w="5528" w:type="dxa"/>
            <w:tcBorders>
              <w:bottom w:val="single" w:color="000000" w:sz="4" w:space="0"/>
            </w:tcBorders>
            <w:shd w:val="clear" w:color="auto" w:fill="auto"/>
            <w:vAlign w:val="center"/>
          </w:tcPr>
          <w:p w14:paraId="223FBA4E">
            <w:pPr>
              <w:pStyle w:val="74"/>
              <w:widowControl/>
              <w:numPr>
                <w:ilvl w:val="0"/>
                <w:numId w:val="29"/>
              </w:numPr>
              <w:spacing w:line="240" w:lineRule="auto"/>
              <w:ind w:firstLineChars="0"/>
              <w:rPr>
                <w:rFonts w:cs="宋体"/>
                <w:kern w:val="0"/>
                <w:szCs w:val="24"/>
              </w:rPr>
            </w:pPr>
            <w:r>
              <w:rPr>
                <w:rFonts w:hint="eastAsia" w:cs="宋体"/>
                <w:kern w:val="0"/>
                <w:szCs w:val="24"/>
              </w:rPr>
              <w:t>整体项目运输保险费。</w:t>
            </w:r>
          </w:p>
        </w:tc>
      </w:tr>
    </w:tbl>
    <w:p w14:paraId="2824FF0B">
      <w:pPr>
        <w:pStyle w:val="3"/>
        <w:numPr>
          <w:ilvl w:val="0"/>
          <w:numId w:val="3"/>
        </w:numPr>
      </w:pPr>
      <w:r>
        <w:rPr>
          <w:rFonts w:hint="eastAsia"/>
        </w:rPr>
        <w:t>服务水平要求</w:t>
      </w:r>
    </w:p>
    <w:p w14:paraId="36996EB4">
      <w:pPr>
        <w:pStyle w:val="4"/>
        <w:ind w:left="480"/>
        <w:rPr>
          <w:rFonts w:hint="eastAsia"/>
        </w:rPr>
      </w:pPr>
      <w:r>
        <w:rPr>
          <w:rFonts w:hint="eastAsia"/>
        </w:rPr>
        <w:t>（一）</w:t>
      </w:r>
      <w:r>
        <w:rPr>
          <w:rFonts w:hint="eastAsia" w:cs="宋体"/>
        </w:rPr>
        <w:t>物流运输保管计划</w:t>
      </w:r>
    </w:p>
    <w:p w14:paraId="555D6EE2">
      <w:pPr>
        <w:ind w:firstLine="480" w:firstLineChars="200"/>
        <w:rPr>
          <w:rFonts w:hint="eastAsia" w:cs="宋体"/>
        </w:rPr>
      </w:pPr>
      <w:r>
        <w:rPr>
          <w:rFonts w:hint="eastAsia" w:cs="宋体"/>
        </w:rPr>
        <w:t>包括但不限于：供货计划流程、运输实施计划、货物配送计划、</w:t>
      </w:r>
      <w:r>
        <w:rPr>
          <w:rFonts w:cs="宋体"/>
        </w:rPr>
        <w:t>保管计划</w:t>
      </w:r>
      <w:r>
        <w:rPr>
          <w:rFonts w:hint="eastAsia" w:cs="宋体"/>
        </w:rPr>
        <w:t>，根据实际情况，设计针对性供货计划流程，确保工程质量、降低成本、缩短工期。根据《海南省绿色产品政府采购实施意见（试行）》琼财采规</w:t>
      </w:r>
      <w:r>
        <w:rPr>
          <w:rFonts w:cs="宋体"/>
        </w:rPr>
        <w:t>[2019]3号文要对具体运输做出实施计划。对本项目要求货物配送至采购人指定地点做出详细的配送计划。货物到达用户指定地点后做出完善的保管计划以保证货物的完整性、安全性。</w:t>
      </w:r>
    </w:p>
    <w:p w14:paraId="2ACA2F67">
      <w:pPr>
        <w:pStyle w:val="4"/>
        <w:ind w:left="480"/>
        <w:rPr>
          <w:rFonts w:hint="eastAsia"/>
        </w:rPr>
      </w:pPr>
      <w:r>
        <w:rPr>
          <w:rFonts w:hint="eastAsia"/>
        </w:rPr>
        <w:t>（二）</w:t>
      </w:r>
      <w:r>
        <w:rPr>
          <w:rFonts w:hint="eastAsia" w:cs="宋体"/>
        </w:rPr>
        <w:t>进度保证</w:t>
      </w:r>
    </w:p>
    <w:p w14:paraId="3BB9E659">
      <w:pPr>
        <w:ind w:firstLine="480" w:firstLineChars="200"/>
        <w:rPr>
          <w:rFonts w:hint="eastAsia" w:cs="宋体"/>
        </w:rPr>
      </w:pPr>
      <w:r>
        <w:rPr>
          <w:rFonts w:hint="eastAsia" w:cs="宋体"/>
        </w:rPr>
        <w:t>包括但不限于：实施进度规划、执行与控制措施，根据本项目的实际情况，编制总进度规划，规划切实可靠。根据总进度规划，做出详细的执行与控制措施，确保本次项目按照采购文件要求的时限完成。本次项目时间紧任务重，要有对于本项目的实时进度情况和进度的把控，确保货物质量和生产进度能完美及时交付。</w:t>
      </w:r>
    </w:p>
    <w:p w14:paraId="1A127056">
      <w:pPr>
        <w:pStyle w:val="3"/>
        <w:numPr>
          <w:ilvl w:val="0"/>
          <w:numId w:val="3"/>
        </w:numPr>
      </w:pPr>
      <w:r>
        <w:rPr>
          <w:rFonts w:hint="eastAsia"/>
        </w:rPr>
        <w:t>履约能力要求</w:t>
      </w:r>
    </w:p>
    <w:p w14:paraId="7E1E391B">
      <w:pPr>
        <w:pStyle w:val="4"/>
        <w:ind w:left="480"/>
        <w:rPr>
          <w:rFonts w:hint="eastAsia"/>
        </w:rPr>
      </w:pPr>
      <w:r>
        <w:rPr>
          <w:rFonts w:hint="eastAsia"/>
        </w:rPr>
        <w:t>（一）</w:t>
      </w:r>
      <w:r>
        <w:rPr>
          <w:rFonts w:hint="eastAsia" w:cs="宋体"/>
        </w:rPr>
        <w:t>安装验收</w:t>
      </w:r>
    </w:p>
    <w:p w14:paraId="192CE5C2">
      <w:pPr>
        <w:ind w:firstLine="480" w:firstLineChars="200"/>
        <w:rPr>
          <w:rFonts w:hint="eastAsia" w:cs="宋体"/>
        </w:rPr>
      </w:pPr>
      <w:r>
        <w:rPr>
          <w:rFonts w:hint="eastAsia" w:cs="宋体"/>
        </w:rPr>
        <w:t>包括但不限于：现场组装布置、货物安装调试、货物验收的具体实施措施，本项目的货物需要现场布置、安装，而且地点分散，要有完善的具体实施措施加以保障，</w:t>
      </w:r>
      <w:bookmarkStart w:id="99" w:name="_Hlk172193112"/>
      <w:r>
        <w:rPr>
          <w:rFonts w:hint="eastAsia" w:cs="宋体"/>
        </w:rPr>
        <w:t>货物验收工作要以国家规定、行业标准、采购文件和成交供应商验收方案中的规格及技术参数为根据来开展</w:t>
      </w:r>
      <w:bookmarkEnd w:id="99"/>
      <w:r>
        <w:rPr>
          <w:rFonts w:hint="eastAsia" w:cs="宋体"/>
        </w:rPr>
        <w:t>。</w:t>
      </w:r>
    </w:p>
    <w:p w14:paraId="5FA7725B">
      <w:pPr>
        <w:pStyle w:val="4"/>
        <w:ind w:left="480"/>
        <w:rPr>
          <w:rFonts w:hint="eastAsia"/>
        </w:rPr>
      </w:pPr>
      <w:r>
        <w:rPr>
          <w:rFonts w:hint="eastAsia"/>
        </w:rPr>
        <w:t>（二）</w:t>
      </w:r>
      <w:r>
        <w:rPr>
          <w:rFonts w:hint="eastAsia" w:cs="宋体"/>
        </w:rPr>
        <w:t>安全文明施工及应急处置</w:t>
      </w:r>
    </w:p>
    <w:p w14:paraId="1A16F404">
      <w:pPr>
        <w:ind w:firstLine="480" w:firstLineChars="200"/>
        <w:rPr>
          <w:rFonts w:hint="eastAsia" w:cs="宋体"/>
        </w:rPr>
      </w:pPr>
      <w:r>
        <w:rPr>
          <w:rFonts w:hint="eastAsia" w:cs="宋体"/>
        </w:rPr>
        <w:t>包括但不限于：安装施工安全保障、文明施工、应急措施，安装施工安全保障方面：要有安全生产管理制度和安全隐患排除措施，有生产安全事故应急预案和事故处理预案。文明施工方面：不得干扰采购人单位的正常秩序，不得影响相关单位和个人的生产生活秩序。安装施工结束，需恢复原貌、保持环境整洁，要有完整的方案。应急措施：根据本项目的实际特点，做出有针对性的内容及保障措施。</w:t>
      </w:r>
    </w:p>
    <w:p w14:paraId="55405943">
      <w:pPr>
        <w:pStyle w:val="3"/>
        <w:numPr>
          <w:ilvl w:val="0"/>
          <w:numId w:val="3"/>
        </w:numPr>
      </w:pPr>
      <w:r>
        <w:rPr>
          <w:rFonts w:hint="eastAsia"/>
        </w:rPr>
        <w:t>售后服务要求</w:t>
      </w:r>
    </w:p>
    <w:p w14:paraId="0AF10325">
      <w:pPr>
        <w:ind w:firstLine="424" w:firstLineChars="177"/>
        <w:rPr>
          <w:rFonts w:hint="eastAsia" w:asciiTheme="minorEastAsia" w:hAnsiTheme="minorEastAsia" w:eastAsiaTheme="minorEastAsia" w:cstheme="minorEastAsia"/>
          <w:szCs w:val="21"/>
        </w:rPr>
      </w:pPr>
      <w:r>
        <w:rPr>
          <w:rFonts w:hint="eastAsia" w:cs="宋体"/>
        </w:rPr>
        <w:t>包括但不限于：</w:t>
      </w:r>
      <w:r>
        <w:rPr>
          <w:rFonts w:hint="eastAsia" w:asciiTheme="minorEastAsia" w:hAnsiTheme="minorEastAsia" w:eastAsiaTheme="minorEastAsia" w:cstheme="minorEastAsia"/>
          <w:szCs w:val="21"/>
        </w:rPr>
        <w:t>售后服务体系和承诺、售后服务团队配备、售后问题的具体处理，售后服务体系和承诺：通过建立健全的服务体系及时响应处理采购人需求。供应商应统一服务申告渠道，设置售后服务电话，至少为采购人配备一名专职客户经理，专职处理采购人咨询、报障和投诉等业务。售后服务团队配备：为确保能为采购人提供及时周到的服务，需要配置专门的售后服务团队以方便采购人紧急时候的维护。售后问题的具体处理：保修期内，货物出现质量问题的，乙方应负责免费维修；由此给甲方造成损失的，相关费用由乙方承担；保修期内货物故障乙方应提供不低于同等档次设备供甲方使用至故障设备正常使用为止。保修期内的货物，因质量问题连续两次维修仍无法正常使用的，乙方必须予以更换同品牌、同型号的货物，相关费用由乙方承担。提供7×24小时技术支持和服务。保修期内，如货物出现问题，接到甲方电话通知后，</w:t>
      </w:r>
      <w:r>
        <w:rPr>
          <w:rFonts w:asciiTheme="minorEastAsia" w:hAnsiTheme="minorEastAsia" w:eastAsiaTheme="minorEastAsia" w:cstheme="minorEastAsia"/>
          <w:szCs w:val="21"/>
        </w:rPr>
        <w:t>1</w:t>
      </w:r>
      <w:r>
        <w:rPr>
          <w:rFonts w:hint="eastAsia" w:asciiTheme="minorEastAsia" w:hAnsiTheme="minorEastAsia" w:eastAsiaTheme="minorEastAsia" w:cstheme="minorEastAsia"/>
          <w:szCs w:val="21"/>
        </w:rPr>
        <w:t>小时内作出实质性响应并到达指定现场。问题解决后24小时内，提交问题处理报告，说明问题种类、问题原因、问题解决中使用的方法及造成的损失等情况，安装调试并验收合格后开始起算保修期。</w:t>
      </w:r>
    </w:p>
    <w:p w14:paraId="4BA8A5D8">
      <w:pPr>
        <w:pStyle w:val="38"/>
        <w:ind w:firstLine="480"/>
        <w:rPr>
          <w:rFonts w:hint="eastAsia" w:eastAsiaTheme="minorEastAsia"/>
        </w:rPr>
      </w:pPr>
      <w:r>
        <w:rPr>
          <w:rFonts w:hint="eastAsia" w:asciiTheme="minorEastAsia" w:hAnsiTheme="minorEastAsia" w:eastAsiaTheme="minorEastAsia" w:cstheme="minorEastAsia"/>
          <w:szCs w:val="21"/>
        </w:rPr>
        <w:t>保修期不低于如下期限：</w:t>
      </w:r>
    </w:p>
    <w:tbl>
      <w:tblPr>
        <w:tblStyle w:val="28"/>
        <w:tblW w:w="9125" w:type="dxa"/>
        <w:tblInd w:w="96" w:type="dxa"/>
        <w:tblLayout w:type="autofit"/>
        <w:tblCellMar>
          <w:top w:w="0" w:type="dxa"/>
          <w:left w:w="108" w:type="dxa"/>
          <w:bottom w:w="0" w:type="dxa"/>
          <w:right w:w="108" w:type="dxa"/>
        </w:tblCellMar>
      </w:tblPr>
      <w:tblGrid>
        <w:gridCol w:w="1390"/>
        <w:gridCol w:w="3428"/>
        <w:gridCol w:w="4307"/>
      </w:tblGrid>
      <w:tr w14:paraId="23FDB442">
        <w:tblPrEx>
          <w:tblCellMar>
            <w:top w:w="0" w:type="dxa"/>
            <w:left w:w="108" w:type="dxa"/>
            <w:bottom w:w="0" w:type="dxa"/>
            <w:right w:w="108" w:type="dxa"/>
          </w:tblCellMar>
        </w:tblPrEx>
        <w:trPr>
          <w:trHeight w:val="460" w:hRule="atLeast"/>
          <w:tblHeader/>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4C6ED8">
            <w:pPr>
              <w:widowControl/>
              <w:jc w:val="center"/>
              <w:textAlignment w:val="center"/>
              <w:rPr>
                <w:rFonts w:hint="eastAsia" w:cs="宋体"/>
                <w:b/>
                <w:bCs/>
              </w:rPr>
            </w:pPr>
            <w:r>
              <w:rPr>
                <w:rFonts w:hint="eastAsia" w:cs="宋体"/>
                <w:b/>
                <w:bCs/>
                <w:kern w:val="0"/>
                <w:lang w:bidi="ar"/>
              </w:rPr>
              <w:t>序号</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14FF70">
            <w:pPr>
              <w:widowControl/>
              <w:jc w:val="center"/>
              <w:textAlignment w:val="center"/>
              <w:rPr>
                <w:rFonts w:hint="eastAsia" w:cs="宋体"/>
                <w:b/>
                <w:bCs/>
              </w:rPr>
            </w:pPr>
            <w:r>
              <w:rPr>
                <w:rFonts w:hint="eastAsia" w:cs="宋体"/>
                <w:b/>
                <w:bCs/>
                <w:kern w:val="0"/>
                <w:lang w:bidi="ar"/>
              </w:rPr>
              <w:t>设备名称</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092E49">
            <w:pPr>
              <w:widowControl/>
              <w:jc w:val="center"/>
              <w:textAlignment w:val="center"/>
              <w:rPr>
                <w:rFonts w:hint="eastAsia" w:cs="宋体"/>
                <w:b/>
                <w:bCs/>
              </w:rPr>
            </w:pPr>
            <w:r>
              <w:rPr>
                <w:rFonts w:hint="eastAsia" w:ascii="仿宋" w:hAnsi="仿宋" w:eastAsia="仿宋" w:cs="仿宋"/>
                <w:b/>
              </w:rPr>
              <w:t>保修期</w:t>
            </w:r>
          </w:p>
        </w:tc>
      </w:tr>
      <w:tr w14:paraId="2D7A2CCC">
        <w:tblPrEx>
          <w:tblCellMar>
            <w:top w:w="0" w:type="dxa"/>
            <w:left w:w="108" w:type="dxa"/>
            <w:bottom w:w="0" w:type="dxa"/>
            <w:right w:w="108" w:type="dxa"/>
          </w:tblCellMar>
        </w:tblPrEx>
        <w:trPr>
          <w:trHeight w:val="576"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1642F4">
            <w:pPr>
              <w:widowControl/>
              <w:jc w:val="center"/>
              <w:textAlignment w:val="center"/>
              <w:rPr>
                <w:rFonts w:hint="eastAsia" w:cs="宋体"/>
              </w:rPr>
            </w:pPr>
            <w:r>
              <w:rPr>
                <w:rFonts w:hint="eastAsia" w:cs="宋体"/>
                <w:kern w:val="0"/>
                <w:lang w:bidi="ar"/>
              </w:rPr>
              <w:t>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46AD62">
            <w:pPr>
              <w:widowControl/>
              <w:jc w:val="center"/>
              <w:textAlignment w:val="center"/>
              <w:rPr>
                <w:rFonts w:hint="eastAsia" w:cs="宋体"/>
              </w:rPr>
            </w:pPr>
            <w:r>
              <w:rPr>
                <w:rFonts w:hint="eastAsia" w:cs="宋体"/>
                <w:kern w:val="0"/>
                <w:lang w:bidi="ar"/>
              </w:rPr>
              <w:t>台式计算机</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E6A324">
            <w:pPr>
              <w:widowControl/>
              <w:jc w:val="center"/>
              <w:textAlignment w:val="center"/>
              <w:rPr>
                <w:rFonts w:hint="eastAsia" w:cs="宋体"/>
              </w:rPr>
            </w:pPr>
            <w:r>
              <w:rPr>
                <w:rFonts w:hint="eastAsia" w:cs="宋体"/>
              </w:rPr>
              <w:t>主要部件3年（键盘鼠标1年）</w:t>
            </w:r>
          </w:p>
        </w:tc>
      </w:tr>
      <w:tr w14:paraId="628D2399">
        <w:tblPrEx>
          <w:tblCellMar>
            <w:top w:w="0" w:type="dxa"/>
            <w:left w:w="108" w:type="dxa"/>
            <w:bottom w:w="0" w:type="dxa"/>
            <w:right w:w="108" w:type="dxa"/>
          </w:tblCellMar>
        </w:tblPrEx>
        <w:trPr>
          <w:trHeight w:val="626"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C06583">
            <w:pPr>
              <w:widowControl/>
              <w:jc w:val="center"/>
              <w:textAlignment w:val="center"/>
              <w:rPr>
                <w:rFonts w:hint="eastAsia" w:cs="宋体"/>
              </w:rPr>
            </w:pPr>
            <w:r>
              <w:rPr>
                <w:rFonts w:hint="eastAsia" w:cs="宋体"/>
                <w:kern w:val="0"/>
                <w:lang w:bidi="ar"/>
              </w:rPr>
              <w:t>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1160D5">
            <w:pPr>
              <w:widowControl/>
              <w:jc w:val="center"/>
              <w:textAlignment w:val="center"/>
              <w:rPr>
                <w:rFonts w:hint="eastAsia" w:cs="宋体"/>
              </w:rPr>
            </w:pPr>
            <w:r>
              <w:rPr>
                <w:rFonts w:hint="eastAsia" w:cs="宋体"/>
                <w:kern w:val="0"/>
                <w:lang w:bidi="ar"/>
              </w:rPr>
              <w:t>笔记本电脑</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1ABCD4">
            <w:pPr>
              <w:widowControl/>
              <w:jc w:val="center"/>
              <w:textAlignment w:val="center"/>
              <w:rPr>
                <w:rFonts w:hint="eastAsia" w:cs="宋体"/>
              </w:rPr>
            </w:pPr>
            <w:r>
              <w:rPr>
                <w:rFonts w:hint="eastAsia" w:cs="宋体"/>
              </w:rPr>
              <w:t>整机3年</w:t>
            </w:r>
          </w:p>
        </w:tc>
      </w:tr>
      <w:tr w14:paraId="33FDC0A5">
        <w:tblPrEx>
          <w:tblCellMar>
            <w:top w:w="0" w:type="dxa"/>
            <w:left w:w="108" w:type="dxa"/>
            <w:bottom w:w="0" w:type="dxa"/>
            <w:right w:w="108" w:type="dxa"/>
          </w:tblCellMar>
        </w:tblPrEx>
        <w:trPr>
          <w:trHeight w:val="63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28A5C7">
            <w:pPr>
              <w:widowControl/>
              <w:jc w:val="center"/>
              <w:textAlignment w:val="center"/>
              <w:rPr>
                <w:rFonts w:hint="eastAsia" w:cs="宋体"/>
              </w:rPr>
            </w:pPr>
            <w:r>
              <w:rPr>
                <w:rFonts w:hint="eastAsia" w:cs="宋体"/>
                <w:kern w:val="0"/>
                <w:lang w:bidi="ar"/>
              </w:rPr>
              <w:t>3</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D9ECF3">
            <w:pPr>
              <w:widowControl/>
              <w:jc w:val="center"/>
              <w:textAlignment w:val="center"/>
              <w:rPr>
                <w:rFonts w:hint="eastAsia" w:cs="宋体"/>
              </w:rPr>
            </w:pPr>
            <w:r>
              <w:rPr>
                <w:rFonts w:hint="eastAsia" w:cs="宋体"/>
                <w:kern w:val="0"/>
                <w:lang w:bidi="ar"/>
              </w:rPr>
              <w:t>激光打印机</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51C101">
            <w:pPr>
              <w:widowControl/>
              <w:jc w:val="center"/>
              <w:textAlignment w:val="center"/>
              <w:rPr>
                <w:rFonts w:hint="eastAsia" w:cs="宋体"/>
              </w:rPr>
            </w:pPr>
            <w:r>
              <w:rPr>
                <w:rFonts w:hint="eastAsia" w:cs="宋体"/>
              </w:rPr>
              <w:t>1年</w:t>
            </w:r>
          </w:p>
        </w:tc>
      </w:tr>
      <w:tr w14:paraId="5671FCBC">
        <w:tblPrEx>
          <w:tblCellMar>
            <w:top w:w="0" w:type="dxa"/>
            <w:left w:w="108" w:type="dxa"/>
            <w:bottom w:w="0" w:type="dxa"/>
            <w:right w:w="108" w:type="dxa"/>
          </w:tblCellMar>
        </w:tblPrEx>
        <w:trPr>
          <w:trHeight w:val="61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05DB56">
            <w:pPr>
              <w:widowControl/>
              <w:jc w:val="center"/>
              <w:textAlignment w:val="center"/>
              <w:rPr>
                <w:rFonts w:hint="eastAsia" w:cs="宋体"/>
              </w:rPr>
            </w:pPr>
            <w:r>
              <w:rPr>
                <w:rFonts w:hint="eastAsia" w:cs="宋体"/>
                <w:kern w:val="0"/>
                <w:lang w:bidi="ar"/>
              </w:rPr>
              <w:t>4</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BF3D8B">
            <w:pPr>
              <w:widowControl/>
              <w:jc w:val="center"/>
              <w:textAlignment w:val="center"/>
              <w:rPr>
                <w:rFonts w:hint="eastAsia" w:cs="宋体"/>
              </w:rPr>
            </w:pPr>
            <w:r>
              <w:rPr>
                <w:rFonts w:hint="eastAsia" w:cs="宋体"/>
                <w:kern w:val="0"/>
                <w:lang w:bidi="ar"/>
              </w:rPr>
              <w:t>热敏票据打印机</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7E97E">
            <w:pPr>
              <w:widowControl/>
              <w:jc w:val="center"/>
              <w:textAlignment w:val="center"/>
              <w:rPr>
                <w:rFonts w:hint="eastAsia" w:cs="宋体"/>
              </w:rPr>
            </w:pPr>
            <w:r>
              <w:rPr>
                <w:rFonts w:hint="eastAsia" w:cs="宋体"/>
              </w:rPr>
              <w:t>1年</w:t>
            </w:r>
          </w:p>
        </w:tc>
      </w:tr>
      <w:tr w14:paraId="3967A52B">
        <w:tblPrEx>
          <w:tblCellMar>
            <w:top w:w="0" w:type="dxa"/>
            <w:left w:w="108" w:type="dxa"/>
            <w:bottom w:w="0" w:type="dxa"/>
            <w:right w:w="108" w:type="dxa"/>
          </w:tblCellMar>
        </w:tblPrEx>
        <w:trPr>
          <w:trHeight w:val="84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0AE96E">
            <w:pPr>
              <w:widowControl/>
              <w:jc w:val="center"/>
              <w:textAlignment w:val="center"/>
              <w:rPr>
                <w:rFonts w:hint="eastAsia" w:cs="宋体"/>
              </w:rPr>
            </w:pPr>
            <w:r>
              <w:rPr>
                <w:rFonts w:hint="eastAsia" w:cs="宋体"/>
                <w:kern w:val="0"/>
                <w:lang w:bidi="ar"/>
              </w:rPr>
              <w:t>5</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766FCF">
            <w:pPr>
              <w:widowControl/>
              <w:jc w:val="center"/>
              <w:textAlignment w:val="center"/>
              <w:rPr>
                <w:rFonts w:hint="eastAsia" w:cs="宋体"/>
              </w:rPr>
            </w:pPr>
            <w:r>
              <w:rPr>
                <w:rFonts w:hint="eastAsia" w:cs="宋体"/>
                <w:kern w:val="0"/>
                <w:lang w:bidi="ar"/>
              </w:rPr>
              <w:t>针式票据打印机</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7F8881">
            <w:pPr>
              <w:widowControl/>
              <w:jc w:val="center"/>
              <w:textAlignment w:val="center"/>
              <w:rPr>
                <w:rFonts w:hint="eastAsia" w:cs="宋体"/>
              </w:rPr>
            </w:pPr>
            <w:r>
              <w:rPr>
                <w:rFonts w:hint="eastAsia" w:cs="宋体"/>
              </w:rPr>
              <w:t>1年</w:t>
            </w:r>
          </w:p>
        </w:tc>
      </w:tr>
      <w:tr w14:paraId="147045D5">
        <w:tblPrEx>
          <w:tblCellMar>
            <w:top w:w="0" w:type="dxa"/>
            <w:left w:w="108" w:type="dxa"/>
            <w:bottom w:w="0" w:type="dxa"/>
            <w:right w:w="108" w:type="dxa"/>
          </w:tblCellMar>
        </w:tblPrEx>
        <w:trPr>
          <w:trHeight w:val="586"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5CF7A38">
            <w:pPr>
              <w:widowControl/>
              <w:jc w:val="center"/>
              <w:textAlignment w:val="center"/>
              <w:rPr>
                <w:rFonts w:hint="eastAsia" w:cs="宋体"/>
              </w:rPr>
            </w:pPr>
            <w:r>
              <w:rPr>
                <w:rFonts w:hint="eastAsia" w:cs="宋体"/>
                <w:kern w:val="0"/>
                <w:lang w:bidi="ar"/>
              </w:rPr>
              <w:t>6</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75C86">
            <w:pPr>
              <w:widowControl/>
              <w:jc w:val="center"/>
              <w:textAlignment w:val="center"/>
              <w:rPr>
                <w:rFonts w:hint="eastAsia" w:cs="宋体"/>
              </w:rPr>
            </w:pPr>
            <w:r>
              <w:rPr>
                <w:rFonts w:hint="eastAsia" w:cs="宋体"/>
                <w:kern w:val="0"/>
                <w:lang w:bidi="ar"/>
              </w:rPr>
              <w:t>热敏标签打印机</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46BD4">
            <w:pPr>
              <w:widowControl/>
              <w:jc w:val="center"/>
              <w:textAlignment w:val="center"/>
              <w:rPr>
                <w:rFonts w:hint="eastAsia" w:cs="宋体"/>
              </w:rPr>
            </w:pPr>
            <w:r>
              <w:rPr>
                <w:rFonts w:hint="eastAsia" w:cs="宋体"/>
              </w:rPr>
              <w:t>1年</w:t>
            </w:r>
          </w:p>
        </w:tc>
      </w:tr>
      <w:tr w14:paraId="60141DEA">
        <w:tblPrEx>
          <w:tblCellMar>
            <w:top w:w="0" w:type="dxa"/>
            <w:left w:w="108" w:type="dxa"/>
            <w:bottom w:w="0" w:type="dxa"/>
            <w:right w:w="108" w:type="dxa"/>
          </w:tblCellMar>
        </w:tblPrEx>
        <w:trPr>
          <w:trHeight w:val="1006"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1AAE231">
            <w:pPr>
              <w:widowControl/>
              <w:jc w:val="center"/>
              <w:textAlignment w:val="center"/>
              <w:rPr>
                <w:rFonts w:hint="eastAsia" w:cs="宋体"/>
              </w:rPr>
            </w:pPr>
            <w:r>
              <w:rPr>
                <w:rFonts w:hint="eastAsia" w:cs="宋体"/>
                <w:kern w:val="0"/>
                <w:lang w:bidi="ar"/>
              </w:rPr>
              <w:t>7</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C70710">
            <w:pPr>
              <w:widowControl/>
              <w:jc w:val="center"/>
              <w:textAlignment w:val="center"/>
              <w:rPr>
                <w:rFonts w:hint="eastAsia" w:cs="宋体"/>
              </w:rPr>
            </w:pPr>
            <w:r>
              <w:rPr>
                <w:rFonts w:hint="eastAsia" w:cs="宋体"/>
                <w:kern w:val="0"/>
                <w:lang w:bidi="ar"/>
              </w:rPr>
              <w:t>多功能一体机</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6E409A">
            <w:pPr>
              <w:widowControl/>
              <w:jc w:val="center"/>
              <w:textAlignment w:val="center"/>
              <w:rPr>
                <w:rFonts w:hint="eastAsia" w:cs="宋体"/>
              </w:rPr>
            </w:pPr>
            <w:r>
              <w:rPr>
                <w:rFonts w:hint="eastAsia" w:cs="宋体"/>
              </w:rPr>
              <w:t>1年</w:t>
            </w:r>
          </w:p>
        </w:tc>
      </w:tr>
      <w:tr w14:paraId="38EAB95C">
        <w:trPr>
          <w:trHeight w:val="722"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8285B3">
            <w:pPr>
              <w:widowControl/>
              <w:jc w:val="center"/>
              <w:textAlignment w:val="center"/>
              <w:rPr>
                <w:rFonts w:hint="eastAsia" w:cs="宋体"/>
              </w:rPr>
            </w:pPr>
            <w:r>
              <w:rPr>
                <w:rFonts w:hint="eastAsia" w:cs="宋体"/>
                <w:kern w:val="0"/>
                <w:lang w:bidi="ar"/>
              </w:rPr>
              <w:t>8</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931005">
            <w:pPr>
              <w:widowControl/>
              <w:jc w:val="center"/>
              <w:textAlignment w:val="center"/>
              <w:rPr>
                <w:rFonts w:hint="eastAsia" w:cs="宋体"/>
              </w:rPr>
            </w:pPr>
            <w:r>
              <w:rPr>
                <w:rFonts w:hint="eastAsia" w:cs="宋体"/>
                <w:kern w:val="0"/>
                <w:lang w:bidi="ar"/>
              </w:rPr>
              <w:t>投影仪（含120寸幕布）</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2AAF2E">
            <w:pPr>
              <w:widowControl/>
              <w:jc w:val="center"/>
              <w:textAlignment w:val="center"/>
              <w:rPr>
                <w:rFonts w:hint="eastAsia" w:cs="宋体"/>
              </w:rPr>
            </w:pPr>
            <w:r>
              <w:rPr>
                <w:rFonts w:hint="eastAsia" w:cs="宋体"/>
              </w:rPr>
              <w:t>2年</w:t>
            </w:r>
          </w:p>
        </w:tc>
      </w:tr>
      <w:tr w14:paraId="7844BB1C">
        <w:tblPrEx>
          <w:tblCellMar>
            <w:top w:w="0" w:type="dxa"/>
            <w:left w:w="108" w:type="dxa"/>
            <w:bottom w:w="0" w:type="dxa"/>
            <w:right w:w="108" w:type="dxa"/>
          </w:tblCellMar>
        </w:tblPrEx>
        <w:trPr>
          <w:trHeight w:val="450"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8DDDD46">
            <w:pPr>
              <w:jc w:val="center"/>
              <w:rPr>
                <w:rFonts w:hint="eastAsia" w:cs="宋体"/>
              </w:rPr>
            </w:pPr>
            <w:r>
              <w:rPr>
                <w:rFonts w:hint="eastAsia" w:cs="宋体"/>
              </w:rPr>
              <w:t>9</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E27D0F">
            <w:pPr>
              <w:jc w:val="center"/>
              <w:rPr>
                <w:rFonts w:hint="eastAsia" w:cs="宋体"/>
              </w:rPr>
            </w:pPr>
            <w:r>
              <w:rPr>
                <w:rFonts w:hint="eastAsia" w:cs="宋体"/>
                <w:kern w:val="0"/>
                <w:lang w:bidi="ar"/>
              </w:rPr>
              <w:t>投影仪（含100寸幕布）</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D0F5">
            <w:pPr>
              <w:widowControl/>
              <w:jc w:val="center"/>
              <w:textAlignment w:val="center"/>
              <w:rPr>
                <w:rFonts w:hint="eastAsia" w:cs="宋体"/>
              </w:rPr>
            </w:pPr>
            <w:r>
              <w:rPr>
                <w:rFonts w:hint="eastAsia" w:cs="宋体"/>
              </w:rPr>
              <w:t>2年</w:t>
            </w:r>
          </w:p>
        </w:tc>
      </w:tr>
      <w:tr w14:paraId="747BC325">
        <w:tblPrEx>
          <w:tblCellMar>
            <w:top w:w="0" w:type="dxa"/>
            <w:left w:w="108" w:type="dxa"/>
            <w:bottom w:w="0" w:type="dxa"/>
            <w:right w:w="108" w:type="dxa"/>
          </w:tblCellMar>
        </w:tblPrEx>
        <w:trPr>
          <w:trHeight w:val="746"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1080E4">
            <w:pPr>
              <w:widowControl/>
              <w:jc w:val="center"/>
              <w:textAlignment w:val="center"/>
              <w:rPr>
                <w:rFonts w:hint="eastAsia" w:cs="宋体"/>
              </w:rPr>
            </w:pPr>
            <w:r>
              <w:rPr>
                <w:rFonts w:hint="eastAsia" w:cs="宋体"/>
                <w:kern w:val="0"/>
                <w:lang w:bidi="ar"/>
              </w:rPr>
              <w:t>10</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A7BBC7">
            <w:pPr>
              <w:widowControl/>
              <w:jc w:val="center"/>
              <w:textAlignment w:val="center"/>
              <w:rPr>
                <w:rFonts w:hint="eastAsia" w:cs="宋体"/>
              </w:rPr>
            </w:pPr>
            <w:r>
              <w:rPr>
                <w:rFonts w:hint="eastAsia" w:cs="宋体"/>
                <w:kern w:val="0"/>
                <w:lang w:bidi="ar"/>
              </w:rPr>
              <w:t>会议平板</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4CAC0">
            <w:pPr>
              <w:widowControl/>
              <w:jc w:val="center"/>
              <w:textAlignment w:val="center"/>
              <w:rPr>
                <w:rFonts w:hint="eastAsia" w:cs="宋体"/>
              </w:rPr>
            </w:pPr>
            <w:r>
              <w:rPr>
                <w:rFonts w:hint="eastAsia" w:cs="宋体"/>
              </w:rPr>
              <w:t>3年</w:t>
            </w:r>
          </w:p>
        </w:tc>
      </w:tr>
      <w:tr w14:paraId="208C1F14">
        <w:tblPrEx>
          <w:tblCellMar>
            <w:top w:w="0" w:type="dxa"/>
            <w:left w:w="108" w:type="dxa"/>
            <w:bottom w:w="0" w:type="dxa"/>
            <w:right w:w="108" w:type="dxa"/>
          </w:tblCellMar>
        </w:tblPrEx>
        <w:trPr>
          <w:trHeight w:val="598"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DFFE22">
            <w:pPr>
              <w:widowControl/>
              <w:jc w:val="center"/>
              <w:textAlignment w:val="center"/>
              <w:rPr>
                <w:rFonts w:hint="eastAsia" w:cs="宋体"/>
              </w:rPr>
            </w:pPr>
            <w:r>
              <w:rPr>
                <w:rFonts w:hint="eastAsia" w:cs="宋体"/>
                <w:kern w:val="0"/>
                <w:lang w:bidi="ar"/>
              </w:rPr>
              <w:t>11</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40C30">
            <w:pPr>
              <w:widowControl/>
              <w:jc w:val="center"/>
              <w:textAlignment w:val="center"/>
              <w:rPr>
                <w:rFonts w:hint="eastAsia" w:cs="宋体"/>
              </w:rPr>
            </w:pPr>
            <w:r>
              <w:rPr>
                <w:rFonts w:hint="eastAsia" w:cs="宋体"/>
                <w:kern w:val="0"/>
                <w:lang w:bidi="ar"/>
              </w:rPr>
              <w:t>分诊小屏</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BE35F5">
            <w:pPr>
              <w:widowControl/>
              <w:jc w:val="center"/>
              <w:textAlignment w:val="center"/>
              <w:rPr>
                <w:rFonts w:hint="eastAsia" w:cs="宋体"/>
              </w:rPr>
            </w:pPr>
            <w:r>
              <w:rPr>
                <w:rFonts w:hint="eastAsia" w:cs="宋体"/>
              </w:rPr>
              <w:t>1年</w:t>
            </w:r>
          </w:p>
        </w:tc>
      </w:tr>
      <w:tr w14:paraId="3D857591">
        <w:tblPrEx>
          <w:tblCellMar>
            <w:top w:w="0" w:type="dxa"/>
            <w:left w:w="108" w:type="dxa"/>
            <w:bottom w:w="0" w:type="dxa"/>
            <w:right w:w="108" w:type="dxa"/>
          </w:tblCellMar>
        </w:tblPrEx>
        <w:trPr>
          <w:trHeight w:val="696" w:hRule="atLeast"/>
        </w:trPr>
        <w:tc>
          <w:tcPr>
            <w:tcW w:w="1390"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071743">
            <w:pPr>
              <w:widowControl/>
              <w:jc w:val="center"/>
              <w:textAlignment w:val="center"/>
              <w:rPr>
                <w:rFonts w:hint="eastAsia" w:cs="宋体"/>
              </w:rPr>
            </w:pPr>
            <w:r>
              <w:rPr>
                <w:rFonts w:hint="eastAsia" w:cs="宋体"/>
                <w:kern w:val="0"/>
                <w:lang w:bidi="ar"/>
              </w:rPr>
              <w:t>12</w:t>
            </w:r>
          </w:p>
        </w:tc>
        <w:tc>
          <w:tcPr>
            <w:tcW w:w="342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77710">
            <w:pPr>
              <w:widowControl/>
              <w:jc w:val="center"/>
              <w:textAlignment w:val="center"/>
              <w:rPr>
                <w:rFonts w:hint="eastAsia" w:cs="宋体"/>
              </w:rPr>
            </w:pPr>
            <w:r>
              <w:rPr>
                <w:rFonts w:hint="eastAsia" w:cs="宋体"/>
                <w:kern w:val="0"/>
                <w:lang w:bidi="ar"/>
              </w:rPr>
              <w:t>全彩LED显示屏</w:t>
            </w:r>
          </w:p>
        </w:tc>
        <w:tc>
          <w:tcPr>
            <w:tcW w:w="4307"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D2A107">
            <w:pPr>
              <w:widowControl/>
              <w:jc w:val="center"/>
              <w:textAlignment w:val="center"/>
              <w:rPr>
                <w:rFonts w:hint="eastAsia" w:cs="宋体"/>
              </w:rPr>
            </w:pPr>
            <w:r>
              <w:rPr>
                <w:rFonts w:hint="eastAsia" w:cs="宋体"/>
              </w:rPr>
              <w:t>2年</w:t>
            </w:r>
          </w:p>
        </w:tc>
      </w:tr>
    </w:tbl>
    <w:p w14:paraId="53F369CB">
      <w:pPr>
        <w:pStyle w:val="38"/>
        <w:ind w:firstLine="480"/>
        <w:rPr>
          <w:rFonts w:hint="eastAsia"/>
        </w:rPr>
      </w:pPr>
    </w:p>
    <w:p w14:paraId="542A52DC">
      <w:pPr>
        <w:pStyle w:val="3"/>
        <w:numPr>
          <w:ilvl w:val="0"/>
          <w:numId w:val="3"/>
        </w:numPr>
      </w:pPr>
      <w:r>
        <w:rPr>
          <w:rFonts w:hint="eastAsia"/>
        </w:rPr>
        <w:t>★商务要求</w:t>
      </w:r>
    </w:p>
    <w:p w14:paraId="254073A3">
      <w:pPr>
        <w:pStyle w:val="4"/>
        <w:ind w:left="480"/>
        <w:rPr>
          <w:rFonts w:hint="eastAsia"/>
        </w:rPr>
      </w:pPr>
      <w:r>
        <w:rPr>
          <w:rFonts w:hint="eastAsia"/>
        </w:rPr>
        <w:t>（一）合同履行期限</w:t>
      </w:r>
    </w:p>
    <w:p w14:paraId="04AB5508">
      <w:pPr>
        <w:ind w:firstLine="480" w:firstLineChars="200"/>
        <w:rPr>
          <w:rFonts w:hint="eastAsia" w:cs="宋体"/>
        </w:rPr>
      </w:pPr>
      <w:r>
        <w:rPr>
          <w:rFonts w:hint="eastAsia"/>
        </w:rPr>
        <w:t>自合同签订之日起90个日历天完成供货安装调试</w:t>
      </w:r>
      <w:r>
        <w:t>。</w:t>
      </w:r>
    </w:p>
    <w:p w14:paraId="66D9D306">
      <w:pPr>
        <w:pStyle w:val="4"/>
        <w:ind w:left="480"/>
        <w:rPr>
          <w:rFonts w:hint="eastAsia"/>
        </w:rPr>
      </w:pPr>
      <w:r>
        <w:rPr>
          <w:rFonts w:hint="eastAsia"/>
        </w:rPr>
        <w:t>（二）交货地点（服务地点）</w:t>
      </w:r>
    </w:p>
    <w:p w14:paraId="439D165A">
      <w:pPr>
        <w:ind w:firstLine="480" w:firstLineChars="200"/>
        <w:rPr>
          <w:rFonts w:hint="eastAsia" w:cs="宋体"/>
        </w:rPr>
      </w:pPr>
      <w:r>
        <w:rPr>
          <w:rFonts w:hint="eastAsia" w:cs="宋体"/>
        </w:rPr>
        <w:t>海口市龙华区安宁路3号海南省安宁医院东边距离约100米的灵龙大厦。</w:t>
      </w:r>
    </w:p>
    <w:p w14:paraId="7638CC9C">
      <w:pPr>
        <w:pStyle w:val="4"/>
        <w:ind w:left="480"/>
        <w:rPr>
          <w:rFonts w:hint="eastAsia"/>
        </w:rPr>
      </w:pPr>
      <w:r>
        <w:rPr>
          <w:rFonts w:hint="eastAsia"/>
        </w:rPr>
        <w:t>（三）付款时间、方式及条件</w:t>
      </w:r>
    </w:p>
    <w:p w14:paraId="2B265C07">
      <w:pPr>
        <w:ind w:firstLine="480" w:firstLineChars="200"/>
        <w:rPr>
          <w:rFonts w:hint="eastAsia" w:cs="宋体"/>
        </w:rPr>
      </w:pPr>
      <w:r>
        <w:rPr>
          <w:rFonts w:hint="eastAsia" w:cs="宋体"/>
        </w:rPr>
        <w:t>双方签订合同后，甲方按合同支付70%预付款，乙方将货物全部运到甲方指定地点并安装调试，签订验收报告后，按照合同支付剩下的30%验收款。</w:t>
      </w:r>
    </w:p>
    <w:p w14:paraId="7FB41591">
      <w:pPr>
        <w:pStyle w:val="4"/>
        <w:ind w:left="480"/>
        <w:rPr>
          <w:rFonts w:hint="eastAsia"/>
        </w:rPr>
      </w:pPr>
      <w:r>
        <w:rPr>
          <w:rFonts w:hint="eastAsia"/>
        </w:rPr>
        <w:t>（四）验收方法及标准</w:t>
      </w:r>
    </w:p>
    <w:p w14:paraId="64E54D5D">
      <w:pPr>
        <w:ind w:firstLine="480" w:firstLineChars="200"/>
        <w:rPr>
          <w:rFonts w:hint="eastAsia" w:cs="宋体"/>
        </w:rPr>
      </w:pPr>
      <w:r>
        <w:rPr>
          <w:rFonts w:hint="eastAsia" w:cs="宋体"/>
        </w:rPr>
        <w:t>货物安装调试完成后通知采购人进行验收，以国家、地方和行业标准、以及采购文件和成交供应商的规格及技术参数作为验收标准。</w:t>
      </w:r>
    </w:p>
    <w:p w14:paraId="23540DDA">
      <w:pPr>
        <w:widowControl/>
        <w:spacing w:line="240" w:lineRule="auto"/>
        <w:rPr>
          <w:rFonts w:hint="eastAsia"/>
          <w:b/>
        </w:rPr>
      </w:pPr>
      <w:bookmarkStart w:id="100" w:name="_Toc31373"/>
      <w:bookmarkStart w:id="101" w:name="_Toc28037_WPSOffice_Level1"/>
      <w:bookmarkStart w:id="102" w:name="_Toc6319_WPSOffice_Level1"/>
      <w:bookmarkStart w:id="103" w:name="_Toc8886"/>
      <w:r>
        <w:rPr>
          <w:b/>
        </w:rPr>
        <w:br w:type="page"/>
      </w:r>
    </w:p>
    <w:p w14:paraId="0BC0D67A">
      <w:pPr>
        <w:pStyle w:val="2"/>
        <w:rPr>
          <w:rFonts w:hint="eastAsia" w:ascii="宋体" w:hAnsi="宋体" w:cs="宋体"/>
        </w:rPr>
      </w:pPr>
      <w:bookmarkStart w:id="104" w:name="_Toc194273472"/>
      <w:r>
        <w:rPr>
          <w:rFonts w:hint="eastAsia" w:ascii="宋体" w:hAnsi="宋体" w:cs="宋体"/>
        </w:rPr>
        <w:t xml:space="preserve">第四章  </w:t>
      </w:r>
      <w:bookmarkEnd w:id="100"/>
      <w:bookmarkEnd w:id="101"/>
      <w:r>
        <w:rPr>
          <w:rFonts w:hint="eastAsia" w:ascii="宋体" w:hAnsi="宋体" w:cs="宋体"/>
        </w:rPr>
        <w:t>评审方法、标准及程序</w:t>
      </w:r>
      <w:bookmarkEnd w:id="104"/>
    </w:p>
    <w:p w14:paraId="0674F9B0">
      <w:pPr>
        <w:jc w:val="center"/>
        <w:rPr>
          <w:rFonts w:hint="eastAsia" w:cs="宋体"/>
          <w:sz w:val="32"/>
          <w:szCs w:val="32"/>
        </w:rPr>
      </w:pPr>
    </w:p>
    <w:p w14:paraId="74B56468">
      <w:pPr>
        <w:pStyle w:val="3"/>
      </w:pPr>
      <w:r>
        <w:rPr>
          <w:rFonts w:hint="eastAsia"/>
        </w:rPr>
        <w:t>一、评审方法</w:t>
      </w:r>
    </w:p>
    <w:p w14:paraId="5856B132">
      <w:pPr>
        <w:ind w:firstLine="482" w:firstLineChars="200"/>
        <w:rPr>
          <w:rFonts w:hint="eastAsia" w:cs="宋体"/>
          <w:b/>
          <w:bCs/>
        </w:rPr>
      </w:pPr>
      <w:r>
        <w:rPr>
          <w:rFonts w:hint="eastAsia" w:cs="宋体"/>
          <w:b/>
          <w:bCs/>
        </w:rPr>
        <w:t>1.评审方法：采用综合评分法。</w:t>
      </w:r>
    </w:p>
    <w:p w14:paraId="2712682D">
      <w:pPr>
        <w:ind w:firstLine="480" w:firstLineChars="200"/>
        <w:rPr>
          <w:rFonts w:hint="eastAsia" w:cs="宋体"/>
        </w:rPr>
      </w:pPr>
      <w:r>
        <w:rPr>
          <w:rFonts w:hint="eastAsia" w:cs="宋体"/>
        </w:rPr>
        <w:t>2.综合评分法评标步骤：磋商小组先进行资格符合性审查，再进行技术、商务及价格的详细评审。只有通过资格符合性审查的供应商才能进入详细的评审。</w:t>
      </w:r>
    </w:p>
    <w:p w14:paraId="6EEB0887">
      <w:pPr>
        <w:ind w:firstLine="480" w:firstLineChars="200"/>
        <w:rPr>
          <w:rFonts w:hint="eastAsia" w:cs="宋体"/>
        </w:rPr>
      </w:pPr>
      <w:r>
        <w:rPr>
          <w:rFonts w:hint="eastAsia" w:cs="宋体"/>
        </w:rPr>
        <w:t>3.综合评分及其统计：按照磋商程序、评分标准以及权值分配的规定，磋商小组成员分别就各个供应商的技术状况、商务状况及其对磋商文件要求的响应情况进行评议和比较，评出其技术评分和商务评分。然后，评出价格得分。将技术评分、商务评分和价格评分相加得出综合得分，综合得分按由高到低顺序排列。综合得分相同的，按最后报价由低到高顺序排列。综合得分和最后报价均相同的，按技术指标由优至劣顺序排列。综合得分最高的供应商为第一成交候选供应商，综合得分次高的供应商为第二</w:t>
      </w:r>
      <w:r>
        <w:rPr>
          <w:rFonts w:hint="eastAsia"/>
        </w:rPr>
        <w:t>成交</w:t>
      </w:r>
      <w:r>
        <w:rPr>
          <w:rFonts w:hint="eastAsia" w:cs="宋体"/>
        </w:rPr>
        <w:t>候选供应商。</w:t>
      </w:r>
    </w:p>
    <w:p w14:paraId="519F8F16">
      <w:pPr>
        <w:pStyle w:val="3"/>
      </w:pPr>
      <w:r>
        <w:rPr>
          <w:rFonts w:hint="eastAsia"/>
        </w:rPr>
        <w:t>二、资格符合性审查</w:t>
      </w:r>
    </w:p>
    <w:p w14:paraId="4A6511B4">
      <w:pPr>
        <w:ind w:firstLine="480" w:firstLineChars="200"/>
        <w:rPr>
          <w:rFonts w:hint="eastAsia" w:cs="宋体"/>
        </w:rPr>
      </w:pPr>
      <w:r>
        <w:rPr>
          <w:rFonts w:hint="eastAsia" w:cs="宋体"/>
        </w:rPr>
        <w:t>1.磋商小组根据“资格符合性审查表”对响应文件的资格符合性进行评审，只有对“资格符合性审查表”所列各项作出实质性响应的响应文件才能通过审查。对是否实质性响应磋商文件的要求有争议的响应内容，磋商小组将以记名方式表决，得票超过半数的供应商有资格进入最后报价阶段，否则将被淘汰。</w:t>
      </w:r>
    </w:p>
    <w:p w14:paraId="60B9C4D8">
      <w:pPr>
        <w:ind w:firstLine="480" w:firstLineChars="200"/>
        <w:rPr>
          <w:rFonts w:hint="eastAsia" w:cs="宋体"/>
        </w:rPr>
      </w:pPr>
      <w:r>
        <w:rPr>
          <w:rFonts w:hint="eastAsia" w:cs="宋体"/>
        </w:rPr>
        <w:t>2.</w:t>
      </w:r>
      <w:r>
        <w:rPr>
          <w:rFonts w:hint="eastAsia"/>
        </w:rPr>
        <w:t>判断响应文件的响应与否只根据响应文件本身，而不寻求外部证据。</w:t>
      </w:r>
    </w:p>
    <w:p w14:paraId="2AE858F2">
      <w:pPr>
        <w:ind w:firstLine="480" w:firstLineChars="200"/>
        <w:rPr>
          <w:rFonts w:hint="eastAsia"/>
        </w:rPr>
      </w:pPr>
      <w:r>
        <w:rPr>
          <w:rFonts w:hint="eastAsia"/>
        </w:rPr>
        <w:t>3.磋商小组在符合性审查中，对算术错误的修正原则如下:</w:t>
      </w:r>
    </w:p>
    <w:p w14:paraId="69CAEA9F">
      <w:pPr>
        <w:ind w:firstLine="480" w:firstLineChars="200"/>
        <w:rPr>
          <w:rFonts w:hint="eastAsia"/>
        </w:rPr>
      </w:pPr>
      <w:r>
        <w:rPr>
          <w:rFonts w:hint="eastAsia"/>
        </w:rPr>
        <w:t>（1）磋商文件的大写金额和小写金额不一致的，以大写金额为准；</w:t>
      </w:r>
    </w:p>
    <w:p w14:paraId="0EDFF31B">
      <w:pPr>
        <w:ind w:firstLine="480" w:firstLineChars="200"/>
        <w:rPr>
          <w:rFonts w:hint="eastAsia"/>
        </w:rPr>
      </w:pPr>
      <w:r>
        <w:rPr>
          <w:rFonts w:hint="eastAsia"/>
        </w:rPr>
        <w:t>（2）总价金额与按单价汇总金额不一致的，以单价金额计算结果为准；</w:t>
      </w:r>
    </w:p>
    <w:p w14:paraId="415B0A6F">
      <w:pPr>
        <w:ind w:firstLine="480" w:firstLineChars="200"/>
        <w:rPr>
          <w:rFonts w:hint="eastAsia"/>
        </w:rPr>
      </w:pPr>
      <w:r>
        <w:rPr>
          <w:rFonts w:hint="eastAsia"/>
        </w:rPr>
        <w:t>（3）单价金额小数点有明显错位的，以总价为准并修改单价；</w:t>
      </w:r>
    </w:p>
    <w:p w14:paraId="246B4609">
      <w:pPr>
        <w:ind w:firstLine="480" w:firstLineChars="200"/>
        <w:rPr>
          <w:rFonts w:hint="eastAsia"/>
        </w:rPr>
      </w:pPr>
      <w:r>
        <w:rPr>
          <w:rFonts w:hint="eastAsia"/>
        </w:rPr>
        <w:t>（4）若供应商不同意以上修正，响应文件将视为无效。</w:t>
      </w:r>
    </w:p>
    <w:p w14:paraId="1197A642">
      <w:pPr>
        <w:ind w:firstLine="480" w:firstLineChars="200"/>
        <w:rPr>
          <w:rFonts w:hint="eastAsia" w:cs="宋体"/>
        </w:rPr>
      </w:pPr>
      <w:r>
        <w:rPr>
          <w:rFonts w:hint="eastAsia" w:cs="宋体"/>
        </w:rPr>
        <w:t>4.无效磋商的认定</w:t>
      </w:r>
    </w:p>
    <w:p w14:paraId="432AD428">
      <w:pPr>
        <w:ind w:firstLine="480" w:firstLineChars="200"/>
        <w:rPr>
          <w:rFonts w:hint="eastAsia" w:cs="宋体"/>
        </w:rPr>
      </w:pPr>
      <w:r>
        <w:rPr>
          <w:rFonts w:hint="eastAsia" w:cs="宋体"/>
        </w:rPr>
        <w:t>响应文件出现但不限于下列情况的将被认定为无效磋商。</w:t>
      </w:r>
    </w:p>
    <w:p w14:paraId="18C20904">
      <w:pPr>
        <w:ind w:firstLine="480" w:firstLineChars="200"/>
        <w:rPr>
          <w:rFonts w:hint="eastAsia"/>
        </w:rPr>
      </w:pPr>
      <w:r>
        <w:rPr>
          <w:rFonts w:hint="eastAsia"/>
        </w:rPr>
        <w:t>（1）不具备响应文件中规定的资格要求的；</w:t>
      </w:r>
    </w:p>
    <w:p w14:paraId="72128976">
      <w:pPr>
        <w:ind w:firstLine="480" w:firstLineChars="200"/>
        <w:rPr>
          <w:rFonts w:hint="eastAsia"/>
        </w:rPr>
      </w:pPr>
      <w:r>
        <w:rPr>
          <w:rFonts w:hint="eastAsia"/>
        </w:rPr>
        <w:t>（2）响应文件无法定代表人签字或被受权人未经法定代表人授权的；</w:t>
      </w:r>
    </w:p>
    <w:p w14:paraId="2AFE60F4">
      <w:pPr>
        <w:ind w:firstLine="480" w:firstLineChars="200"/>
        <w:rPr>
          <w:rFonts w:hint="eastAsia"/>
        </w:rPr>
      </w:pPr>
      <w:r>
        <w:rPr>
          <w:rFonts w:hint="eastAsia"/>
        </w:rPr>
        <w:t>（3）响应文件未按响应文件要求签署、盖章、装订的；</w:t>
      </w:r>
    </w:p>
    <w:p w14:paraId="037FB62D">
      <w:pPr>
        <w:ind w:firstLine="480" w:firstLineChars="200"/>
        <w:rPr>
          <w:rFonts w:hint="eastAsia"/>
        </w:rPr>
      </w:pPr>
      <w:r>
        <w:rPr>
          <w:rFonts w:hint="eastAsia"/>
        </w:rPr>
        <w:t>（4）供应商对所提供的报价不完整的；</w:t>
      </w:r>
    </w:p>
    <w:p w14:paraId="207421C4">
      <w:pPr>
        <w:ind w:firstLine="480" w:firstLineChars="200"/>
        <w:rPr>
          <w:rFonts w:hint="eastAsia"/>
        </w:rPr>
      </w:pPr>
      <w:r>
        <w:rPr>
          <w:rFonts w:hint="eastAsia"/>
        </w:rPr>
        <w:t>（5）响应有效期不足的；</w:t>
      </w:r>
    </w:p>
    <w:p w14:paraId="4DC790DA">
      <w:pPr>
        <w:ind w:firstLine="480" w:firstLineChars="200"/>
        <w:rPr>
          <w:rFonts w:hint="eastAsia"/>
        </w:rPr>
      </w:pPr>
      <w:r>
        <w:rPr>
          <w:rFonts w:hint="eastAsia"/>
        </w:rPr>
        <w:t>（6）未按照响应文件的规定提交响应保证金的；</w:t>
      </w:r>
    </w:p>
    <w:p w14:paraId="411BF566">
      <w:pPr>
        <w:ind w:firstLine="480" w:firstLineChars="200"/>
        <w:rPr>
          <w:rFonts w:hint="eastAsia"/>
        </w:rPr>
      </w:pPr>
      <w:r>
        <w:rPr>
          <w:rFonts w:hint="eastAsia"/>
        </w:rPr>
        <w:t>（7）交付时间或合同履行期限等不满足响应文件要求的；</w:t>
      </w:r>
    </w:p>
    <w:p w14:paraId="2C77B811">
      <w:pPr>
        <w:ind w:firstLine="480" w:firstLineChars="200"/>
        <w:rPr>
          <w:rFonts w:hint="eastAsia"/>
        </w:rPr>
      </w:pPr>
      <w:r>
        <w:rPr>
          <w:rFonts w:hint="eastAsia"/>
        </w:rPr>
        <w:t>（8）响应文件数量不足的；</w:t>
      </w:r>
    </w:p>
    <w:p w14:paraId="6D8CAA4F">
      <w:pPr>
        <w:ind w:firstLine="480" w:firstLineChars="200"/>
        <w:rPr>
          <w:rFonts w:hint="eastAsia"/>
        </w:rPr>
      </w:pPr>
      <w:r>
        <w:rPr>
          <w:rFonts w:hint="eastAsia"/>
        </w:rPr>
        <w:t>（9）报价超过响应文件中规定的预算金额或者最高限价的；</w:t>
      </w:r>
    </w:p>
    <w:p w14:paraId="750A1293">
      <w:pPr>
        <w:ind w:firstLine="480" w:firstLineChars="200"/>
        <w:rPr>
          <w:rFonts w:hint="eastAsia"/>
        </w:rPr>
      </w:pPr>
      <w:r>
        <w:rPr>
          <w:rFonts w:hint="eastAsia"/>
        </w:rPr>
        <w:t>（10）U盘只能有文件名一致、内容一致的电子响应文件，不得含有其他无关文件，否则其响应将被拒绝；</w:t>
      </w:r>
    </w:p>
    <w:p w14:paraId="224FDD6A">
      <w:pPr>
        <w:ind w:firstLine="480" w:firstLineChars="200"/>
        <w:rPr>
          <w:rFonts w:hint="eastAsia"/>
        </w:rPr>
      </w:pPr>
      <w:r>
        <w:rPr>
          <w:rFonts w:hint="eastAsia"/>
        </w:rPr>
        <w:t>（11）响应</w:t>
      </w:r>
      <w:r>
        <w:t>文件未按规定要求提交的；</w:t>
      </w:r>
    </w:p>
    <w:p w14:paraId="6D78A3F1">
      <w:pPr>
        <w:ind w:firstLine="480" w:firstLineChars="200"/>
        <w:rPr>
          <w:rFonts w:hint="eastAsia"/>
        </w:rPr>
      </w:pPr>
      <w:r>
        <w:rPr>
          <w:rFonts w:hint="eastAsia"/>
        </w:rPr>
        <w:t>（12）</w:t>
      </w:r>
      <w:r>
        <w:t>相关人员未按时进行</w:t>
      </w:r>
      <w:r>
        <w:rPr>
          <w:rFonts w:hint="eastAsia"/>
        </w:rPr>
        <w:t>磋商</w:t>
      </w:r>
      <w:r>
        <w:t>签到的；</w:t>
      </w:r>
    </w:p>
    <w:p w14:paraId="63DF004F">
      <w:pPr>
        <w:ind w:firstLine="480" w:firstLineChars="200"/>
        <w:rPr>
          <w:rFonts w:hint="eastAsia"/>
        </w:rPr>
      </w:pPr>
      <w:r>
        <w:rPr>
          <w:rFonts w:hint="eastAsia"/>
        </w:rPr>
        <w:t>（13）响应文件含有采购人不能接受的附加条件的；</w:t>
      </w:r>
    </w:p>
    <w:p w14:paraId="75262FED">
      <w:pPr>
        <w:ind w:firstLine="480" w:firstLineChars="200"/>
        <w:rPr>
          <w:rFonts w:hint="eastAsia"/>
        </w:rPr>
      </w:pPr>
      <w:r>
        <w:rPr>
          <w:rFonts w:hint="eastAsia"/>
        </w:rPr>
        <w:t>（14）法律、法规和响应文件规定的其他无效响应情形。</w:t>
      </w:r>
    </w:p>
    <w:p w14:paraId="66E83781">
      <w:pPr>
        <w:ind w:firstLine="480" w:firstLineChars="200"/>
        <w:rPr>
          <w:rFonts w:hint="eastAsia" w:cs="宋体"/>
        </w:rPr>
      </w:pPr>
      <w:r>
        <w:rPr>
          <w:rFonts w:hint="eastAsia"/>
        </w:rPr>
        <w:t>5.通过资格审查的供应商不足三家，则本次磋商失败。</w:t>
      </w:r>
    </w:p>
    <w:p w14:paraId="3C8434CD">
      <w:pPr>
        <w:pStyle w:val="3"/>
      </w:pPr>
      <w:r>
        <w:rPr>
          <w:rFonts w:hint="eastAsia"/>
        </w:rPr>
        <w:t>三、技术、商务和价格评审</w:t>
      </w:r>
    </w:p>
    <w:p w14:paraId="1F97A219">
      <w:pPr>
        <w:ind w:firstLine="480" w:firstLineChars="200"/>
        <w:rPr>
          <w:rFonts w:hint="eastAsia" w:cs="宋体"/>
        </w:rPr>
      </w:pPr>
      <w:r>
        <w:rPr>
          <w:rFonts w:cs="宋体"/>
        </w:rPr>
        <w:t>1</w:t>
      </w:r>
      <w:r>
        <w:rPr>
          <w:rFonts w:hint="eastAsia" w:cs="宋体"/>
        </w:rPr>
        <w:t>.磋商小组邀请通过资格符合性审查的供应商在规定的时间内进行最后报价，提交最后报价后，磋商小组对通过资格符合性审查的供应商进行技术、商务和价格的评审。</w:t>
      </w:r>
    </w:p>
    <w:p w14:paraId="7EDF636A">
      <w:pPr>
        <w:ind w:firstLine="480" w:firstLineChars="200"/>
        <w:rPr>
          <w:rFonts w:hint="eastAsia" w:cs="宋体"/>
        </w:rPr>
      </w:pPr>
      <w:r>
        <w:rPr>
          <w:rFonts w:hint="eastAsia" w:cs="宋体"/>
        </w:rPr>
        <w:t>2.技术、商务评分：磋商小组就供应商对技术、商务响应表中各项要求的响应程度等因素进行打分（技术商务评分各单项因素及其所占权值详见附表）；</w:t>
      </w:r>
    </w:p>
    <w:p w14:paraId="7148E642">
      <w:pPr>
        <w:ind w:firstLine="480" w:firstLineChars="200"/>
        <w:rPr>
          <w:rFonts w:hint="eastAsia" w:cs="宋体"/>
          <w:i/>
        </w:rPr>
      </w:pPr>
      <w:r>
        <w:rPr>
          <w:rFonts w:hint="eastAsia" w:cs="宋体"/>
        </w:rPr>
        <w:t>3.价格评分：</w:t>
      </w:r>
    </w:p>
    <w:p w14:paraId="07845D6A">
      <w:pPr>
        <w:ind w:firstLine="480" w:firstLineChars="200"/>
        <w:rPr>
          <w:rFonts w:hint="eastAsia" w:cs="宋体"/>
        </w:rPr>
      </w:pPr>
      <w:r>
        <w:rPr>
          <w:rFonts w:hint="eastAsia" w:cs="宋体"/>
        </w:rPr>
        <w:t>综合评分法中的价格分统一采用低价优先法计算，即满足磋商文件要求且磋商报价最低的磋商报价为磋商基准价，其价格分为满分。其他供应商的价格分统一按照下列公式计算：</w:t>
      </w:r>
    </w:p>
    <w:p w14:paraId="1310F6A3">
      <w:pPr>
        <w:adjustRightInd w:val="0"/>
        <w:snapToGrid w:val="0"/>
        <w:ind w:firstLine="480" w:firstLineChars="200"/>
        <w:rPr>
          <w:rFonts w:hint="eastAsia" w:cs="宋体"/>
        </w:rPr>
      </w:pPr>
      <w:r>
        <w:rPr>
          <w:rFonts w:hint="eastAsia" w:cs="宋体"/>
        </w:rPr>
        <w:t>磋商报价得分=（磋商基准价/最后报价）×价格权值×100</w:t>
      </w:r>
    </w:p>
    <w:p w14:paraId="397DE9A8">
      <w:pPr>
        <w:ind w:firstLine="480" w:firstLineChars="200"/>
        <w:rPr>
          <w:rFonts w:hint="eastAsia" w:cs="宋体"/>
          <w:bCs/>
        </w:rPr>
      </w:pPr>
      <w:r>
        <w:rPr>
          <w:rFonts w:hint="eastAsia" w:cs="宋体"/>
          <w:bCs/>
        </w:rPr>
        <w:t>附表：技术、商务及价格</w:t>
      </w:r>
      <w:r>
        <w:rPr>
          <w:rFonts w:hint="eastAsia" w:cs="宋体"/>
        </w:rPr>
        <w:t>权值</w:t>
      </w:r>
      <w:r>
        <w:rPr>
          <w:rFonts w:hint="eastAsia" w:cs="宋体"/>
          <w:bCs/>
        </w:rPr>
        <w:t>分配</w:t>
      </w:r>
    </w:p>
    <w:tbl>
      <w:tblPr>
        <w:tblStyle w:val="28"/>
        <w:tblW w:w="0" w:type="auto"/>
        <w:tblInd w:w="108"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2552"/>
        <w:gridCol w:w="3427"/>
        <w:gridCol w:w="3093"/>
      </w:tblGrid>
      <w:tr w14:paraId="39906B7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29" w:hRule="atLeast"/>
        </w:trPr>
        <w:tc>
          <w:tcPr>
            <w:tcW w:w="2552" w:type="dxa"/>
            <w:vAlign w:val="center"/>
          </w:tcPr>
          <w:p w14:paraId="72EBA55A">
            <w:pPr>
              <w:jc w:val="center"/>
              <w:rPr>
                <w:rFonts w:hint="eastAsia" w:cs="宋体"/>
                <w:bCs/>
              </w:rPr>
            </w:pPr>
            <w:r>
              <w:rPr>
                <w:rFonts w:hint="eastAsia" w:cs="宋体"/>
                <w:bCs/>
              </w:rPr>
              <w:t>评分项目</w:t>
            </w:r>
          </w:p>
        </w:tc>
        <w:tc>
          <w:tcPr>
            <w:tcW w:w="3427" w:type="dxa"/>
            <w:tcBorders>
              <w:left w:val="single" w:color="auto" w:sz="4" w:space="0"/>
              <w:right w:val="single" w:color="auto" w:sz="4" w:space="0"/>
            </w:tcBorders>
            <w:vAlign w:val="center"/>
          </w:tcPr>
          <w:p w14:paraId="3717AA62">
            <w:pPr>
              <w:jc w:val="center"/>
              <w:rPr>
                <w:rFonts w:hint="eastAsia" w:cs="宋体"/>
                <w:bCs/>
              </w:rPr>
            </w:pPr>
            <w:r>
              <w:rPr>
                <w:rFonts w:hint="eastAsia" w:cs="宋体"/>
                <w:bCs/>
              </w:rPr>
              <w:t>技术、商务</w:t>
            </w:r>
          </w:p>
        </w:tc>
        <w:tc>
          <w:tcPr>
            <w:tcW w:w="3093" w:type="dxa"/>
            <w:tcBorders>
              <w:right w:val="single" w:color="auto" w:sz="4" w:space="0"/>
            </w:tcBorders>
            <w:vAlign w:val="center"/>
          </w:tcPr>
          <w:p w14:paraId="3A1843D7">
            <w:pPr>
              <w:jc w:val="center"/>
              <w:rPr>
                <w:rFonts w:hint="eastAsia" w:cs="宋体"/>
                <w:bCs/>
              </w:rPr>
            </w:pPr>
            <w:r>
              <w:rPr>
                <w:rFonts w:hint="eastAsia" w:cs="宋体"/>
                <w:bCs/>
              </w:rPr>
              <w:t>价格</w:t>
            </w:r>
          </w:p>
        </w:tc>
      </w:tr>
      <w:tr w14:paraId="47DABCF4">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9" w:hRule="atLeast"/>
        </w:trPr>
        <w:tc>
          <w:tcPr>
            <w:tcW w:w="2552" w:type="dxa"/>
            <w:vAlign w:val="center"/>
          </w:tcPr>
          <w:p w14:paraId="74315D09">
            <w:pPr>
              <w:jc w:val="center"/>
              <w:rPr>
                <w:rFonts w:hint="eastAsia" w:cs="宋体"/>
                <w:bCs/>
              </w:rPr>
            </w:pPr>
            <w:r>
              <w:rPr>
                <w:rFonts w:hint="eastAsia" w:cs="宋体"/>
              </w:rPr>
              <w:t>权值</w:t>
            </w:r>
          </w:p>
        </w:tc>
        <w:tc>
          <w:tcPr>
            <w:tcW w:w="3427" w:type="dxa"/>
            <w:tcBorders>
              <w:left w:val="single" w:color="auto" w:sz="4" w:space="0"/>
              <w:right w:val="single" w:color="auto" w:sz="4" w:space="0"/>
            </w:tcBorders>
            <w:vAlign w:val="center"/>
          </w:tcPr>
          <w:p w14:paraId="25AEC711">
            <w:pPr>
              <w:jc w:val="center"/>
              <w:rPr>
                <w:rFonts w:hint="eastAsia" w:cs="宋体"/>
                <w:bCs/>
              </w:rPr>
            </w:pPr>
            <w:r>
              <w:rPr>
                <w:rFonts w:hint="eastAsia" w:cs="宋体"/>
                <w:bCs/>
              </w:rPr>
              <w:t>70%</w:t>
            </w:r>
          </w:p>
        </w:tc>
        <w:tc>
          <w:tcPr>
            <w:tcW w:w="3093" w:type="dxa"/>
            <w:tcBorders>
              <w:right w:val="single" w:color="auto" w:sz="4" w:space="0"/>
            </w:tcBorders>
            <w:vAlign w:val="center"/>
          </w:tcPr>
          <w:p w14:paraId="3FD5ED74">
            <w:pPr>
              <w:jc w:val="center"/>
              <w:rPr>
                <w:rFonts w:hint="eastAsia" w:cs="宋体"/>
                <w:bCs/>
              </w:rPr>
            </w:pPr>
            <w:r>
              <w:rPr>
                <w:rFonts w:hint="eastAsia" w:cs="宋体"/>
                <w:bCs/>
              </w:rPr>
              <w:t>30%</w:t>
            </w:r>
          </w:p>
        </w:tc>
      </w:tr>
    </w:tbl>
    <w:p w14:paraId="19F096F1">
      <w:pPr>
        <w:ind w:firstLine="480" w:firstLineChars="200"/>
        <w:rPr>
          <w:rFonts w:hint="eastAsia" w:cs="宋体"/>
          <w:bCs/>
        </w:rPr>
      </w:pPr>
      <w:r>
        <w:rPr>
          <w:rFonts w:hint="eastAsia" w:cs="宋体"/>
          <w:bCs/>
        </w:rPr>
        <w:t>4、</w:t>
      </w:r>
      <w:r>
        <w:rPr>
          <w:rFonts w:hint="eastAsia" w:cs="宋体"/>
        </w:rPr>
        <w:t>磋商小组认为供应商的报价明显低于其他通过资格符合性审查供应商的报价，有可能影响产品质量或者不能诚信履约的，将要求其在评审现场接到通知后在规定时间内提供书面说明，必要时提交相关证明材料。供应商不能证明其报价合理性的，磋商小组会将其作为无效响应处理。</w:t>
      </w:r>
    </w:p>
    <w:p w14:paraId="39709A7D">
      <w:pPr>
        <w:ind w:firstLine="480" w:firstLineChars="200"/>
        <w:rPr>
          <w:rFonts w:hint="eastAsia" w:cs="宋体"/>
        </w:rPr>
      </w:pPr>
      <w:r>
        <w:rPr>
          <w:rFonts w:hint="eastAsia" w:cs="宋体"/>
          <w:bCs/>
        </w:rPr>
        <w:t>5、磋商小组</w:t>
      </w:r>
      <w:r>
        <w:rPr>
          <w:rFonts w:hint="eastAsia"/>
        </w:rPr>
        <w:t>各评委的技术、商务评分结果，磋商小组评的算术平均值即为该响应文件的技术、商务评分，技术、商务评分与价格评分相加即得综合得分。综合得分最高的供应商为第一成交候选供应商，综合得分第二高的供应商为第二成交候选供应商，依此类推。综合得分相同的，按响应报价由低到高顺序排列。综合得分且响应报价相同的，</w:t>
      </w:r>
      <w:r>
        <w:rPr>
          <w:rFonts w:hint="eastAsia" w:cs="宋体"/>
        </w:rPr>
        <w:t>按技术指标优劣顺序排列。</w:t>
      </w:r>
    </w:p>
    <w:p w14:paraId="1F88744B">
      <w:pPr>
        <w:ind w:firstLine="480" w:firstLineChars="200"/>
        <w:rPr>
          <w:rFonts w:hint="eastAsia" w:cs="宋体"/>
        </w:rPr>
      </w:pPr>
      <w:r>
        <w:rPr>
          <w:rFonts w:hint="eastAsia" w:cs="宋体"/>
        </w:rPr>
        <w:t>6、评审过程中遇到有争议的情况，由磋商小组遵循公平、公正原则，采取记名投票方式按照少数服从多数原则决定。</w:t>
      </w:r>
    </w:p>
    <w:p w14:paraId="3AB84D19">
      <w:pPr>
        <w:pStyle w:val="3"/>
        <w:jc w:val="center"/>
        <w:rPr>
          <w:rFonts w:hint="eastAsia" w:ascii="宋体" w:hAnsi="宋体" w:cs="宋体"/>
          <w:b w:val="0"/>
          <w:szCs w:val="21"/>
        </w:rPr>
      </w:pPr>
      <w:r>
        <w:rPr>
          <w:rFonts w:hint="eastAsia" w:ascii="宋体" w:hAnsi="宋体" w:cs="宋体"/>
          <w:sz w:val="24"/>
        </w:rPr>
        <w:br w:type="page"/>
      </w:r>
      <w:r>
        <w:rPr>
          <w:rFonts w:hint="eastAsia" w:ascii="宋体" w:hAnsi="宋体" w:cs="宋体"/>
          <w:szCs w:val="28"/>
        </w:rPr>
        <w:t>资格符合性审查表</w:t>
      </w:r>
    </w:p>
    <w:p w14:paraId="097E6D9C">
      <w:pPr>
        <w:rPr>
          <w:rFonts w:hint="eastAsia" w:cs="宋体"/>
        </w:rPr>
      </w:pPr>
      <w:r>
        <w:rPr>
          <w:rFonts w:hint="eastAsia" w:cs="宋体"/>
        </w:rPr>
        <w:t>项目名称：海南省儿童青少年心理健康医学中心基础办公信息设备采购项目</w:t>
      </w:r>
    </w:p>
    <w:p w14:paraId="0CB4DE32">
      <w:pPr>
        <w:rPr>
          <w:rFonts w:hint="eastAsia" w:cs="宋体"/>
        </w:rPr>
      </w:pPr>
      <w:r>
        <w:rPr>
          <w:rFonts w:hint="eastAsia" w:cs="宋体"/>
        </w:rPr>
        <w:t>项目编号：HNSHB-20250310</w:t>
      </w:r>
    </w:p>
    <w:tbl>
      <w:tblPr>
        <w:tblStyle w:val="28"/>
        <w:tblW w:w="9072" w:type="dxa"/>
        <w:tblInd w:w="10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761"/>
        <w:gridCol w:w="2041"/>
        <w:gridCol w:w="5136"/>
        <w:gridCol w:w="1134"/>
      </w:tblGrid>
      <w:tr w14:paraId="54C8ADA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0" w:hRule="atLeast"/>
        </w:trPr>
        <w:tc>
          <w:tcPr>
            <w:tcW w:w="761" w:type="dxa"/>
            <w:tcBorders>
              <w:top w:val="single" w:color="auto" w:sz="4" w:space="0"/>
              <w:left w:val="single" w:color="auto" w:sz="4" w:space="0"/>
              <w:bottom w:val="single" w:color="auto" w:sz="4" w:space="0"/>
              <w:right w:val="single" w:color="auto" w:sz="4" w:space="0"/>
            </w:tcBorders>
            <w:vAlign w:val="center"/>
          </w:tcPr>
          <w:p w14:paraId="5B937B0C">
            <w:pPr>
              <w:spacing w:line="300" w:lineRule="exact"/>
              <w:jc w:val="center"/>
              <w:rPr>
                <w:rFonts w:hint="eastAsia"/>
                <w:b/>
                <w:szCs w:val="21"/>
              </w:rPr>
            </w:pPr>
            <w:r>
              <w:rPr>
                <w:rFonts w:hint="eastAsia"/>
                <w:b/>
                <w:szCs w:val="21"/>
              </w:rPr>
              <w:t>序号</w:t>
            </w:r>
          </w:p>
        </w:tc>
        <w:tc>
          <w:tcPr>
            <w:tcW w:w="2041" w:type="dxa"/>
            <w:tcBorders>
              <w:top w:val="single" w:color="auto" w:sz="4" w:space="0"/>
              <w:left w:val="single" w:color="auto" w:sz="4" w:space="0"/>
              <w:bottom w:val="single" w:color="auto" w:sz="4" w:space="0"/>
              <w:right w:val="single" w:color="auto" w:sz="4" w:space="0"/>
            </w:tcBorders>
            <w:vAlign w:val="center"/>
          </w:tcPr>
          <w:p w14:paraId="3A7CFB20">
            <w:pPr>
              <w:spacing w:line="300" w:lineRule="exact"/>
              <w:jc w:val="center"/>
              <w:rPr>
                <w:rFonts w:hint="eastAsia"/>
                <w:b/>
                <w:szCs w:val="21"/>
              </w:rPr>
            </w:pPr>
            <w:r>
              <w:rPr>
                <w:rFonts w:hint="eastAsia"/>
                <w:b/>
                <w:szCs w:val="21"/>
              </w:rPr>
              <w:t>审查项目</w:t>
            </w:r>
          </w:p>
        </w:tc>
        <w:tc>
          <w:tcPr>
            <w:tcW w:w="5136" w:type="dxa"/>
            <w:tcBorders>
              <w:top w:val="single" w:color="auto" w:sz="4" w:space="0"/>
              <w:left w:val="single" w:color="auto" w:sz="4" w:space="0"/>
              <w:bottom w:val="single" w:color="auto" w:sz="4" w:space="0"/>
              <w:right w:val="single" w:color="auto" w:sz="4" w:space="0"/>
            </w:tcBorders>
            <w:vAlign w:val="center"/>
          </w:tcPr>
          <w:p w14:paraId="7C9BC16C">
            <w:pPr>
              <w:spacing w:line="300" w:lineRule="exact"/>
              <w:jc w:val="center"/>
              <w:rPr>
                <w:rFonts w:hint="eastAsia"/>
                <w:b/>
                <w:szCs w:val="21"/>
              </w:rPr>
            </w:pPr>
            <w:r>
              <w:rPr>
                <w:rFonts w:hint="eastAsia"/>
                <w:b/>
                <w:szCs w:val="21"/>
              </w:rPr>
              <w:t>评议内容</w:t>
            </w:r>
          </w:p>
        </w:tc>
        <w:tc>
          <w:tcPr>
            <w:tcW w:w="1134" w:type="dxa"/>
            <w:tcBorders>
              <w:top w:val="single" w:color="auto" w:sz="4" w:space="0"/>
              <w:left w:val="single" w:color="auto" w:sz="4" w:space="0"/>
              <w:bottom w:val="single" w:color="auto" w:sz="4" w:space="0"/>
              <w:right w:val="single" w:color="auto" w:sz="4" w:space="0"/>
            </w:tcBorders>
            <w:vAlign w:val="center"/>
          </w:tcPr>
          <w:p w14:paraId="183E7C94">
            <w:pPr>
              <w:spacing w:line="300" w:lineRule="exact"/>
              <w:jc w:val="center"/>
              <w:rPr>
                <w:rFonts w:hint="eastAsia"/>
                <w:b/>
                <w:szCs w:val="21"/>
              </w:rPr>
            </w:pPr>
            <w:r>
              <w:rPr>
                <w:rFonts w:hint="eastAsia"/>
                <w:b/>
                <w:szCs w:val="21"/>
              </w:rPr>
              <w:t>供应商</w:t>
            </w:r>
          </w:p>
        </w:tc>
      </w:tr>
      <w:tr w14:paraId="1F8BFC6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59" w:hRule="atLeast"/>
        </w:trPr>
        <w:tc>
          <w:tcPr>
            <w:tcW w:w="761" w:type="dxa"/>
            <w:tcBorders>
              <w:top w:val="single" w:color="auto" w:sz="4" w:space="0"/>
              <w:left w:val="single" w:color="auto" w:sz="4" w:space="0"/>
              <w:bottom w:val="single" w:color="auto" w:sz="4" w:space="0"/>
              <w:right w:val="single" w:color="auto" w:sz="4" w:space="0"/>
            </w:tcBorders>
            <w:vAlign w:val="center"/>
          </w:tcPr>
          <w:p w14:paraId="567DE785">
            <w:pPr>
              <w:snapToGrid w:val="0"/>
              <w:spacing w:line="300" w:lineRule="exact"/>
              <w:jc w:val="center"/>
              <w:rPr>
                <w:rFonts w:hint="eastAsia"/>
              </w:rPr>
            </w:pPr>
            <w:r>
              <w:rPr>
                <w:rFonts w:hint="eastAsia"/>
              </w:rPr>
              <w:t>1</w:t>
            </w:r>
          </w:p>
        </w:tc>
        <w:tc>
          <w:tcPr>
            <w:tcW w:w="2041" w:type="dxa"/>
            <w:tcBorders>
              <w:top w:val="single" w:color="auto" w:sz="4" w:space="0"/>
              <w:left w:val="single" w:color="auto" w:sz="4" w:space="0"/>
              <w:bottom w:val="single" w:color="auto" w:sz="4" w:space="0"/>
              <w:right w:val="single" w:color="auto" w:sz="4" w:space="0"/>
            </w:tcBorders>
            <w:vAlign w:val="center"/>
          </w:tcPr>
          <w:p w14:paraId="3FA838BB">
            <w:pPr>
              <w:widowControl/>
              <w:spacing w:before="72" w:beforeLines="30" w:after="72" w:afterLines="30" w:line="440" w:lineRule="exact"/>
              <w:rPr>
                <w:rFonts w:hint="eastAsia"/>
                <w:szCs w:val="21"/>
              </w:rPr>
            </w:pPr>
            <w:r>
              <w:rPr>
                <w:rFonts w:hint="eastAsia"/>
              </w:rPr>
              <w:t>申请人的资格</w:t>
            </w:r>
          </w:p>
        </w:tc>
        <w:tc>
          <w:tcPr>
            <w:tcW w:w="5136" w:type="dxa"/>
            <w:tcBorders>
              <w:top w:val="single" w:color="auto" w:sz="4" w:space="0"/>
              <w:left w:val="single" w:color="auto" w:sz="4" w:space="0"/>
              <w:bottom w:val="single" w:color="auto" w:sz="4" w:space="0"/>
              <w:right w:val="single" w:color="auto" w:sz="4" w:space="0"/>
            </w:tcBorders>
            <w:vAlign w:val="center"/>
          </w:tcPr>
          <w:p w14:paraId="41F54AE2">
            <w:pPr>
              <w:widowControl/>
              <w:spacing w:before="72" w:beforeLines="30" w:after="72" w:afterLines="30" w:line="440" w:lineRule="exact"/>
              <w:rPr>
                <w:rFonts w:hint="eastAsia"/>
                <w:szCs w:val="21"/>
              </w:rPr>
            </w:pPr>
            <w:r>
              <w:rPr>
                <w:rFonts w:hint="eastAsia"/>
              </w:rPr>
              <w:t>是否符合申请人的资格要求</w:t>
            </w:r>
          </w:p>
        </w:tc>
        <w:tc>
          <w:tcPr>
            <w:tcW w:w="1134" w:type="dxa"/>
            <w:tcBorders>
              <w:top w:val="single" w:color="auto" w:sz="4" w:space="0"/>
              <w:left w:val="single" w:color="auto" w:sz="4" w:space="0"/>
              <w:bottom w:val="single" w:color="auto" w:sz="4" w:space="0"/>
              <w:right w:val="single" w:color="auto" w:sz="4" w:space="0"/>
            </w:tcBorders>
            <w:vAlign w:val="center"/>
          </w:tcPr>
          <w:p w14:paraId="5376079E">
            <w:pPr>
              <w:spacing w:line="300" w:lineRule="exact"/>
              <w:rPr>
                <w:rFonts w:hint="eastAsia"/>
                <w:b/>
                <w:szCs w:val="21"/>
              </w:rPr>
            </w:pPr>
          </w:p>
        </w:tc>
      </w:tr>
      <w:tr w14:paraId="0F3DD6A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964" w:hRule="atLeast"/>
        </w:trPr>
        <w:tc>
          <w:tcPr>
            <w:tcW w:w="761" w:type="dxa"/>
            <w:tcBorders>
              <w:top w:val="single" w:color="auto" w:sz="4" w:space="0"/>
              <w:left w:val="single" w:color="auto" w:sz="4" w:space="0"/>
              <w:bottom w:val="single" w:color="auto" w:sz="4" w:space="0"/>
              <w:right w:val="single" w:color="auto" w:sz="4" w:space="0"/>
            </w:tcBorders>
            <w:vAlign w:val="center"/>
          </w:tcPr>
          <w:p w14:paraId="148A5FDE">
            <w:pPr>
              <w:snapToGrid w:val="0"/>
              <w:spacing w:line="300" w:lineRule="exact"/>
              <w:jc w:val="center"/>
              <w:rPr>
                <w:rFonts w:hint="eastAsia"/>
              </w:rPr>
            </w:pPr>
            <w:r>
              <w:rPr>
                <w:rFonts w:hint="eastAsia"/>
              </w:rPr>
              <w:t>2</w:t>
            </w:r>
          </w:p>
        </w:tc>
        <w:tc>
          <w:tcPr>
            <w:tcW w:w="2041" w:type="dxa"/>
            <w:tcBorders>
              <w:top w:val="single" w:color="auto" w:sz="4" w:space="0"/>
              <w:left w:val="single" w:color="auto" w:sz="4" w:space="0"/>
              <w:bottom w:val="single" w:color="auto" w:sz="4" w:space="0"/>
              <w:right w:val="single" w:color="auto" w:sz="4" w:space="0"/>
            </w:tcBorders>
            <w:vAlign w:val="center"/>
          </w:tcPr>
          <w:p w14:paraId="5E757466">
            <w:pPr>
              <w:widowControl/>
              <w:spacing w:before="72" w:beforeLines="30" w:after="72" w:afterLines="30" w:line="440" w:lineRule="exact"/>
              <w:rPr>
                <w:rFonts w:hint="eastAsia"/>
                <w:szCs w:val="21"/>
              </w:rPr>
            </w:pPr>
            <w:r>
              <w:rPr>
                <w:rFonts w:hint="eastAsia"/>
              </w:rPr>
              <w:t>响应文件的有效性、完整性</w:t>
            </w:r>
          </w:p>
        </w:tc>
        <w:tc>
          <w:tcPr>
            <w:tcW w:w="5136" w:type="dxa"/>
            <w:tcBorders>
              <w:top w:val="single" w:color="auto" w:sz="4" w:space="0"/>
              <w:left w:val="single" w:color="auto" w:sz="4" w:space="0"/>
              <w:bottom w:val="single" w:color="auto" w:sz="4" w:space="0"/>
              <w:right w:val="single" w:color="auto" w:sz="4" w:space="0"/>
            </w:tcBorders>
            <w:vAlign w:val="center"/>
          </w:tcPr>
          <w:p w14:paraId="12BCB61F">
            <w:pPr>
              <w:widowControl/>
              <w:spacing w:before="72" w:beforeLines="30" w:after="72" w:afterLines="30" w:line="440" w:lineRule="exact"/>
              <w:rPr>
                <w:rFonts w:hint="eastAsia"/>
                <w:szCs w:val="21"/>
              </w:rPr>
            </w:pPr>
            <w:r>
              <w:rPr>
                <w:rFonts w:hint="eastAsia"/>
              </w:rPr>
              <w:t>是否符合磋商文件的格式和签署要求且内容完整无缺漏</w:t>
            </w:r>
          </w:p>
        </w:tc>
        <w:tc>
          <w:tcPr>
            <w:tcW w:w="1134" w:type="dxa"/>
            <w:tcBorders>
              <w:top w:val="single" w:color="auto" w:sz="4" w:space="0"/>
              <w:left w:val="single" w:color="auto" w:sz="4" w:space="0"/>
              <w:bottom w:val="single" w:color="auto" w:sz="4" w:space="0"/>
              <w:right w:val="single" w:color="auto" w:sz="4" w:space="0"/>
            </w:tcBorders>
            <w:vAlign w:val="center"/>
          </w:tcPr>
          <w:p w14:paraId="5B8BC227">
            <w:pPr>
              <w:spacing w:line="300" w:lineRule="exact"/>
              <w:rPr>
                <w:rFonts w:hint="eastAsia"/>
                <w:b/>
                <w:szCs w:val="21"/>
              </w:rPr>
            </w:pPr>
          </w:p>
        </w:tc>
      </w:tr>
      <w:tr w14:paraId="4BAAE76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866" w:hRule="atLeast"/>
        </w:trPr>
        <w:tc>
          <w:tcPr>
            <w:tcW w:w="761" w:type="dxa"/>
            <w:tcBorders>
              <w:top w:val="single" w:color="auto" w:sz="4" w:space="0"/>
              <w:left w:val="single" w:color="auto" w:sz="4" w:space="0"/>
              <w:bottom w:val="single" w:color="auto" w:sz="4" w:space="0"/>
              <w:right w:val="single" w:color="auto" w:sz="4" w:space="0"/>
            </w:tcBorders>
            <w:vAlign w:val="center"/>
          </w:tcPr>
          <w:p w14:paraId="2A0E6392">
            <w:pPr>
              <w:snapToGrid w:val="0"/>
              <w:spacing w:line="300" w:lineRule="exact"/>
              <w:jc w:val="center"/>
              <w:rPr>
                <w:rFonts w:hint="eastAsia"/>
              </w:rPr>
            </w:pPr>
            <w:r>
              <w:rPr>
                <w:rFonts w:hint="eastAsia"/>
              </w:rPr>
              <w:t>3</w:t>
            </w:r>
          </w:p>
        </w:tc>
        <w:tc>
          <w:tcPr>
            <w:tcW w:w="2041" w:type="dxa"/>
            <w:tcBorders>
              <w:top w:val="single" w:color="auto" w:sz="4" w:space="0"/>
              <w:left w:val="single" w:color="auto" w:sz="4" w:space="0"/>
              <w:bottom w:val="single" w:color="auto" w:sz="4" w:space="0"/>
              <w:right w:val="single" w:color="auto" w:sz="4" w:space="0"/>
            </w:tcBorders>
            <w:vAlign w:val="center"/>
          </w:tcPr>
          <w:p w14:paraId="6C1748F7">
            <w:pPr>
              <w:widowControl/>
              <w:spacing w:before="72" w:beforeLines="30" w:after="72" w:afterLines="30" w:line="440" w:lineRule="exact"/>
              <w:rPr>
                <w:rFonts w:hint="eastAsia"/>
                <w:szCs w:val="21"/>
              </w:rPr>
            </w:pPr>
            <w:r>
              <w:rPr>
                <w:rFonts w:hint="eastAsia"/>
              </w:rPr>
              <w:t>报价项目完整性</w:t>
            </w:r>
          </w:p>
        </w:tc>
        <w:tc>
          <w:tcPr>
            <w:tcW w:w="5136" w:type="dxa"/>
            <w:tcBorders>
              <w:top w:val="single" w:color="auto" w:sz="4" w:space="0"/>
              <w:left w:val="single" w:color="auto" w:sz="4" w:space="0"/>
              <w:bottom w:val="single" w:color="auto" w:sz="4" w:space="0"/>
              <w:right w:val="single" w:color="auto" w:sz="4" w:space="0"/>
            </w:tcBorders>
            <w:vAlign w:val="center"/>
          </w:tcPr>
          <w:p w14:paraId="1BF17FA3">
            <w:pPr>
              <w:widowControl/>
              <w:spacing w:before="72" w:beforeLines="30" w:after="72" w:afterLines="30" w:line="440" w:lineRule="exact"/>
              <w:rPr>
                <w:rFonts w:hint="eastAsia"/>
                <w:szCs w:val="21"/>
              </w:rPr>
            </w:pPr>
            <w:r>
              <w:rPr>
                <w:rFonts w:hint="eastAsia"/>
              </w:rPr>
              <w:t>是否对本项目内所有的内容进行响应，漏报其响应将被拒绝</w:t>
            </w:r>
          </w:p>
        </w:tc>
        <w:tc>
          <w:tcPr>
            <w:tcW w:w="1134" w:type="dxa"/>
            <w:tcBorders>
              <w:top w:val="single" w:color="auto" w:sz="4" w:space="0"/>
              <w:left w:val="single" w:color="auto" w:sz="4" w:space="0"/>
              <w:bottom w:val="single" w:color="auto" w:sz="4" w:space="0"/>
              <w:right w:val="single" w:color="auto" w:sz="4" w:space="0"/>
            </w:tcBorders>
            <w:vAlign w:val="center"/>
          </w:tcPr>
          <w:p w14:paraId="5D323BE9">
            <w:pPr>
              <w:spacing w:line="300" w:lineRule="exact"/>
              <w:rPr>
                <w:rFonts w:hint="eastAsia"/>
                <w:b/>
                <w:szCs w:val="21"/>
              </w:rPr>
            </w:pPr>
          </w:p>
        </w:tc>
      </w:tr>
      <w:tr w14:paraId="7248603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13" w:hRule="atLeast"/>
        </w:trPr>
        <w:tc>
          <w:tcPr>
            <w:tcW w:w="761" w:type="dxa"/>
            <w:tcBorders>
              <w:top w:val="single" w:color="auto" w:sz="4" w:space="0"/>
              <w:left w:val="single" w:color="auto" w:sz="4" w:space="0"/>
              <w:bottom w:val="single" w:color="auto" w:sz="4" w:space="0"/>
              <w:right w:val="single" w:color="auto" w:sz="4" w:space="0"/>
            </w:tcBorders>
            <w:vAlign w:val="center"/>
          </w:tcPr>
          <w:p w14:paraId="1AF1BC8B">
            <w:pPr>
              <w:snapToGrid w:val="0"/>
              <w:spacing w:line="300" w:lineRule="exact"/>
              <w:jc w:val="center"/>
              <w:rPr>
                <w:rFonts w:hint="eastAsia"/>
              </w:rPr>
            </w:pPr>
            <w:r>
              <w:rPr>
                <w:rFonts w:hint="eastAsia"/>
              </w:rPr>
              <w:t>4</w:t>
            </w:r>
          </w:p>
        </w:tc>
        <w:tc>
          <w:tcPr>
            <w:tcW w:w="2041" w:type="dxa"/>
            <w:tcBorders>
              <w:top w:val="single" w:color="auto" w:sz="4" w:space="0"/>
              <w:left w:val="single" w:color="auto" w:sz="4" w:space="0"/>
              <w:bottom w:val="single" w:color="auto" w:sz="4" w:space="0"/>
              <w:right w:val="single" w:color="auto" w:sz="4" w:space="0"/>
            </w:tcBorders>
            <w:vAlign w:val="center"/>
          </w:tcPr>
          <w:p w14:paraId="2D933EF6">
            <w:pPr>
              <w:widowControl/>
              <w:spacing w:before="72" w:beforeLines="30" w:after="72" w:afterLines="30" w:line="440" w:lineRule="exact"/>
              <w:rPr>
                <w:rFonts w:hint="eastAsia"/>
              </w:rPr>
            </w:pPr>
            <w:r>
              <w:rPr>
                <w:rFonts w:hint="eastAsia"/>
              </w:rPr>
              <w:t>磋商有效期</w:t>
            </w:r>
          </w:p>
        </w:tc>
        <w:tc>
          <w:tcPr>
            <w:tcW w:w="5136" w:type="dxa"/>
            <w:tcBorders>
              <w:top w:val="single" w:color="auto" w:sz="4" w:space="0"/>
              <w:left w:val="single" w:color="auto" w:sz="4" w:space="0"/>
              <w:bottom w:val="single" w:color="auto" w:sz="4" w:space="0"/>
              <w:right w:val="single" w:color="auto" w:sz="4" w:space="0"/>
            </w:tcBorders>
            <w:vAlign w:val="center"/>
          </w:tcPr>
          <w:p w14:paraId="41AA0156">
            <w:pPr>
              <w:widowControl/>
              <w:spacing w:before="72" w:beforeLines="30" w:after="72" w:afterLines="30" w:line="440" w:lineRule="exact"/>
              <w:jc w:val="both"/>
              <w:rPr>
                <w:rFonts w:hint="eastAsia"/>
                <w:szCs w:val="21"/>
              </w:rPr>
            </w:pPr>
            <w:r>
              <w:rPr>
                <w:rFonts w:hint="eastAsia"/>
              </w:rPr>
              <w:t>是否满足磋商文件要求</w:t>
            </w:r>
          </w:p>
        </w:tc>
        <w:tc>
          <w:tcPr>
            <w:tcW w:w="1134" w:type="dxa"/>
            <w:tcBorders>
              <w:top w:val="single" w:color="auto" w:sz="4" w:space="0"/>
              <w:left w:val="single" w:color="auto" w:sz="4" w:space="0"/>
              <w:bottom w:val="single" w:color="auto" w:sz="4" w:space="0"/>
              <w:right w:val="single" w:color="auto" w:sz="4" w:space="0"/>
            </w:tcBorders>
            <w:vAlign w:val="center"/>
          </w:tcPr>
          <w:p w14:paraId="7C2312AF">
            <w:pPr>
              <w:spacing w:line="300" w:lineRule="exact"/>
              <w:rPr>
                <w:rFonts w:hint="eastAsia"/>
                <w:b/>
                <w:szCs w:val="21"/>
              </w:rPr>
            </w:pPr>
          </w:p>
        </w:tc>
      </w:tr>
      <w:tr w14:paraId="0174DCB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481" w:hRule="atLeast"/>
        </w:trPr>
        <w:tc>
          <w:tcPr>
            <w:tcW w:w="761" w:type="dxa"/>
            <w:tcBorders>
              <w:top w:val="single" w:color="auto" w:sz="4" w:space="0"/>
              <w:left w:val="single" w:color="auto" w:sz="4" w:space="0"/>
              <w:bottom w:val="single" w:color="auto" w:sz="4" w:space="0"/>
              <w:right w:val="single" w:color="auto" w:sz="4" w:space="0"/>
            </w:tcBorders>
            <w:vAlign w:val="center"/>
          </w:tcPr>
          <w:p w14:paraId="3863BA2C">
            <w:pPr>
              <w:snapToGrid w:val="0"/>
              <w:spacing w:line="300" w:lineRule="exact"/>
              <w:jc w:val="center"/>
              <w:rPr>
                <w:rFonts w:hint="eastAsia"/>
              </w:rPr>
            </w:pPr>
            <w:r>
              <w:rPr>
                <w:rFonts w:hint="eastAsia"/>
              </w:rPr>
              <w:t>5</w:t>
            </w:r>
          </w:p>
        </w:tc>
        <w:tc>
          <w:tcPr>
            <w:tcW w:w="2041" w:type="dxa"/>
            <w:tcBorders>
              <w:top w:val="single" w:color="auto" w:sz="4" w:space="0"/>
              <w:left w:val="single" w:color="auto" w:sz="4" w:space="0"/>
              <w:bottom w:val="single" w:color="auto" w:sz="4" w:space="0"/>
              <w:right w:val="single" w:color="auto" w:sz="4" w:space="0"/>
            </w:tcBorders>
            <w:vAlign w:val="center"/>
          </w:tcPr>
          <w:p w14:paraId="31E3EF53">
            <w:pPr>
              <w:widowControl/>
              <w:spacing w:before="72" w:beforeLines="30" w:after="72" w:afterLines="30" w:line="440" w:lineRule="exact"/>
              <w:rPr>
                <w:rFonts w:hint="eastAsia"/>
              </w:rPr>
            </w:pPr>
            <w:r>
              <w:rPr>
                <w:rFonts w:hint="eastAsia"/>
              </w:rPr>
              <w:t>磋商保证金</w:t>
            </w:r>
          </w:p>
        </w:tc>
        <w:tc>
          <w:tcPr>
            <w:tcW w:w="5136" w:type="dxa"/>
            <w:tcBorders>
              <w:top w:val="single" w:color="auto" w:sz="4" w:space="0"/>
              <w:left w:val="single" w:color="auto" w:sz="4" w:space="0"/>
              <w:bottom w:val="single" w:color="auto" w:sz="4" w:space="0"/>
              <w:right w:val="single" w:color="auto" w:sz="4" w:space="0"/>
            </w:tcBorders>
            <w:vAlign w:val="center"/>
          </w:tcPr>
          <w:p w14:paraId="41725640">
            <w:pPr>
              <w:widowControl/>
              <w:spacing w:before="72" w:beforeLines="30" w:after="72" w:afterLines="30" w:line="440" w:lineRule="exact"/>
              <w:jc w:val="both"/>
              <w:rPr>
                <w:rFonts w:hint="eastAsia"/>
              </w:rPr>
            </w:pPr>
            <w:r>
              <w:rPr>
                <w:rFonts w:hint="eastAsia"/>
              </w:rPr>
              <w:t>是否满足磋商文件要求</w:t>
            </w:r>
          </w:p>
        </w:tc>
        <w:tc>
          <w:tcPr>
            <w:tcW w:w="1134" w:type="dxa"/>
            <w:tcBorders>
              <w:top w:val="single" w:color="auto" w:sz="4" w:space="0"/>
              <w:left w:val="single" w:color="auto" w:sz="4" w:space="0"/>
              <w:bottom w:val="single" w:color="auto" w:sz="4" w:space="0"/>
              <w:right w:val="single" w:color="auto" w:sz="4" w:space="0"/>
            </w:tcBorders>
            <w:vAlign w:val="center"/>
          </w:tcPr>
          <w:p w14:paraId="5F16812E">
            <w:pPr>
              <w:spacing w:line="300" w:lineRule="exact"/>
              <w:rPr>
                <w:rFonts w:hint="eastAsia"/>
                <w:b/>
                <w:szCs w:val="21"/>
              </w:rPr>
            </w:pPr>
          </w:p>
        </w:tc>
      </w:tr>
      <w:tr w14:paraId="553FA80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90" w:hRule="atLeast"/>
        </w:trPr>
        <w:tc>
          <w:tcPr>
            <w:tcW w:w="761" w:type="dxa"/>
            <w:tcBorders>
              <w:top w:val="single" w:color="auto" w:sz="4" w:space="0"/>
              <w:left w:val="single" w:color="auto" w:sz="4" w:space="0"/>
              <w:bottom w:val="single" w:color="auto" w:sz="4" w:space="0"/>
              <w:right w:val="single" w:color="auto" w:sz="4" w:space="0"/>
            </w:tcBorders>
            <w:vAlign w:val="center"/>
          </w:tcPr>
          <w:p w14:paraId="40B3B689">
            <w:pPr>
              <w:snapToGrid w:val="0"/>
              <w:spacing w:line="300" w:lineRule="exact"/>
              <w:jc w:val="center"/>
              <w:rPr>
                <w:rFonts w:hint="eastAsia"/>
              </w:rPr>
            </w:pPr>
            <w:r>
              <w:rPr>
                <w:rFonts w:hint="eastAsia"/>
              </w:rPr>
              <w:t>6</w:t>
            </w:r>
          </w:p>
        </w:tc>
        <w:tc>
          <w:tcPr>
            <w:tcW w:w="2041" w:type="dxa"/>
            <w:tcBorders>
              <w:top w:val="single" w:color="auto" w:sz="4" w:space="0"/>
              <w:left w:val="single" w:color="auto" w:sz="4" w:space="0"/>
              <w:bottom w:val="single" w:color="auto" w:sz="4" w:space="0"/>
              <w:right w:val="single" w:color="auto" w:sz="4" w:space="0"/>
            </w:tcBorders>
            <w:vAlign w:val="center"/>
          </w:tcPr>
          <w:p w14:paraId="5FE97C45">
            <w:pPr>
              <w:widowControl/>
              <w:spacing w:before="72" w:beforeLines="30" w:after="72" w:afterLines="30" w:line="440" w:lineRule="exact"/>
              <w:rPr>
                <w:rFonts w:hint="eastAsia"/>
              </w:rPr>
            </w:pPr>
            <w:r>
              <w:rPr>
                <w:rFonts w:hint="eastAsia"/>
              </w:rPr>
              <w:t>合同履行期限</w:t>
            </w:r>
          </w:p>
        </w:tc>
        <w:tc>
          <w:tcPr>
            <w:tcW w:w="5136" w:type="dxa"/>
            <w:tcBorders>
              <w:top w:val="single" w:color="auto" w:sz="4" w:space="0"/>
              <w:left w:val="single" w:color="auto" w:sz="4" w:space="0"/>
              <w:bottom w:val="single" w:color="auto" w:sz="4" w:space="0"/>
              <w:right w:val="single" w:color="auto" w:sz="4" w:space="0"/>
            </w:tcBorders>
            <w:vAlign w:val="center"/>
          </w:tcPr>
          <w:p w14:paraId="356EEAF3">
            <w:pPr>
              <w:widowControl/>
              <w:spacing w:before="72" w:beforeLines="30" w:after="72" w:afterLines="30" w:line="440" w:lineRule="exact"/>
              <w:jc w:val="both"/>
              <w:rPr>
                <w:rFonts w:hint="eastAsia"/>
              </w:rPr>
            </w:pPr>
            <w:r>
              <w:rPr>
                <w:rFonts w:hint="eastAsia"/>
              </w:rPr>
              <w:t>是否满足磋商文件要求</w:t>
            </w:r>
          </w:p>
        </w:tc>
        <w:tc>
          <w:tcPr>
            <w:tcW w:w="1134" w:type="dxa"/>
            <w:tcBorders>
              <w:top w:val="single" w:color="auto" w:sz="4" w:space="0"/>
              <w:left w:val="single" w:color="auto" w:sz="4" w:space="0"/>
              <w:bottom w:val="single" w:color="auto" w:sz="4" w:space="0"/>
              <w:right w:val="single" w:color="auto" w:sz="4" w:space="0"/>
            </w:tcBorders>
            <w:vAlign w:val="center"/>
          </w:tcPr>
          <w:p w14:paraId="557D7B77">
            <w:pPr>
              <w:spacing w:line="300" w:lineRule="exact"/>
              <w:rPr>
                <w:rFonts w:hint="eastAsia"/>
                <w:b/>
                <w:szCs w:val="21"/>
              </w:rPr>
            </w:pPr>
          </w:p>
        </w:tc>
      </w:tr>
      <w:tr w14:paraId="46DC29F2">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761" w:type="dxa"/>
            <w:tcBorders>
              <w:top w:val="single" w:color="auto" w:sz="4" w:space="0"/>
              <w:left w:val="single" w:color="auto" w:sz="4" w:space="0"/>
              <w:bottom w:val="single" w:color="auto" w:sz="4" w:space="0"/>
              <w:right w:val="single" w:color="auto" w:sz="4" w:space="0"/>
            </w:tcBorders>
            <w:vAlign w:val="center"/>
          </w:tcPr>
          <w:p w14:paraId="76115183">
            <w:pPr>
              <w:snapToGrid w:val="0"/>
              <w:spacing w:line="300" w:lineRule="exact"/>
              <w:jc w:val="center"/>
              <w:rPr>
                <w:rFonts w:hint="eastAsia"/>
              </w:rPr>
            </w:pPr>
            <w:r>
              <w:rPr>
                <w:rFonts w:hint="eastAsia"/>
              </w:rPr>
              <w:t>7</w:t>
            </w:r>
          </w:p>
        </w:tc>
        <w:tc>
          <w:tcPr>
            <w:tcW w:w="2041" w:type="dxa"/>
            <w:tcBorders>
              <w:top w:val="single" w:color="auto" w:sz="4" w:space="0"/>
              <w:left w:val="single" w:color="auto" w:sz="4" w:space="0"/>
              <w:bottom w:val="single" w:color="auto" w:sz="4" w:space="0"/>
              <w:right w:val="single" w:color="auto" w:sz="4" w:space="0"/>
            </w:tcBorders>
            <w:vAlign w:val="center"/>
          </w:tcPr>
          <w:p w14:paraId="4B91DDD1">
            <w:pPr>
              <w:widowControl/>
              <w:spacing w:before="72" w:beforeLines="30" w:after="72" w:afterLines="30" w:line="440" w:lineRule="exact"/>
              <w:rPr>
                <w:rFonts w:hint="eastAsia"/>
              </w:rPr>
            </w:pPr>
            <w:r>
              <w:rPr>
                <w:rFonts w:hint="eastAsia"/>
              </w:rPr>
              <w:t>响应文件数量</w:t>
            </w:r>
          </w:p>
        </w:tc>
        <w:tc>
          <w:tcPr>
            <w:tcW w:w="5136" w:type="dxa"/>
            <w:tcBorders>
              <w:top w:val="single" w:color="auto" w:sz="4" w:space="0"/>
              <w:left w:val="single" w:color="auto" w:sz="4" w:space="0"/>
              <w:bottom w:val="single" w:color="auto" w:sz="4" w:space="0"/>
              <w:right w:val="single" w:color="auto" w:sz="4" w:space="0"/>
            </w:tcBorders>
            <w:vAlign w:val="center"/>
          </w:tcPr>
          <w:p w14:paraId="555C3E60">
            <w:pPr>
              <w:widowControl/>
              <w:spacing w:before="72" w:beforeLines="30" w:after="72" w:afterLines="30" w:line="440" w:lineRule="exact"/>
              <w:jc w:val="both"/>
              <w:rPr>
                <w:rFonts w:hint="eastAsia"/>
              </w:rPr>
            </w:pPr>
            <w:r>
              <w:rPr>
                <w:rFonts w:hint="eastAsia"/>
              </w:rPr>
              <w:t>是否满足磋商文件要求</w:t>
            </w:r>
          </w:p>
        </w:tc>
        <w:tc>
          <w:tcPr>
            <w:tcW w:w="1134" w:type="dxa"/>
            <w:tcBorders>
              <w:top w:val="single" w:color="auto" w:sz="4" w:space="0"/>
              <w:left w:val="single" w:color="auto" w:sz="4" w:space="0"/>
              <w:bottom w:val="single" w:color="auto" w:sz="4" w:space="0"/>
              <w:right w:val="single" w:color="auto" w:sz="4" w:space="0"/>
            </w:tcBorders>
            <w:vAlign w:val="center"/>
          </w:tcPr>
          <w:p w14:paraId="14013CEA">
            <w:pPr>
              <w:spacing w:line="300" w:lineRule="exact"/>
              <w:rPr>
                <w:rFonts w:hint="eastAsia"/>
                <w:b/>
                <w:szCs w:val="21"/>
              </w:rPr>
            </w:pPr>
          </w:p>
        </w:tc>
      </w:tr>
      <w:tr w14:paraId="6ECD6F6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41" w:hRule="atLeast"/>
        </w:trPr>
        <w:tc>
          <w:tcPr>
            <w:tcW w:w="761" w:type="dxa"/>
            <w:tcBorders>
              <w:top w:val="single" w:color="auto" w:sz="4" w:space="0"/>
              <w:left w:val="single" w:color="auto" w:sz="4" w:space="0"/>
              <w:bottom w:val="single" w:color="auto" w:sz="4" w:space="0"/>
              <w:right w:val="single" w:color="auto" w:sz="4" w:space="0"/>
            </w:tcBorders>
            <w:vAlign w:val="center"/>
          </w:tcPr>
          <w:p w14:paraId="5003D05B">
            <w:pPr>
              <w:snapToGrid w:val="0"/>
              <w:spacing w:line="300" w:lineRule="exact"/>
              <w:jc w:val="center"/>
              <w:rPr>
                <w:rFonts w:hint="eastAsia"/>
              </w:rPr>
            </w:pPr>
            <w:r>
              <w:rPr>
                <w:rFonts w:hint="eastAsia"/>
              </w:rPr>
              <w:t>8</w:t>
            </w:r>
          </w:p>
        </w:tc>
        <w:tc>
          <w:tcPr>
            <w:tcW w:w="2041" w:type="dxa"/>
            <w:tcBorders>
              <w:top w:val="single" w:color="auto" w:sz="4" w:space="0"/>
              <w:left w:val="single" w:color="auto" w:sz="4" w:space="0"/>
              <w:bottom w:val="single" w:color="auto" w:sz="4" w:space="0"/>
              <w:right w:val="single" w:color="auto" w:sz="4" w:space="0"/>
            </w:tcBorders>
            <w:vAlign w:val="center"/>
          </w:tcPr>
          <w:p w14:paraId="56B38247">
            <w:pPr>
              <w:jc w:val="both"/>
              <w:rPr>
                <w:rFonts w:hint="eastAsia"/>
              </w:rPr>
            </w:pPr>
            <w:r>
              <w:rPr>
                <w:rFonts w:hint="eastAsia" w:cs="宋体"/>
                <w:bCs/>
              </w:rPr>
              <w:t>响应文件的签署</w:t>
            </w:r>
          </w:p>
        </w:tc>
        <w:tc>
          <w:tcPr>
            <w:tcW w:w="5136" w:type="dxa"/>
            <w:tcBorders>
              <w:top w:val="single" w:color="auto" w:sz="4" w:space="0"/>
              <w:left w:val="single" w:color="auto" w:sz="4" w:space="0"/>
              <w:bottom w:val="single" w:color="auto" w:sz="4" w:space="0"/>
              <w:right w:val="single" w:color="auto" w:sz="4" w:space="0"/>
            </w:tcBorders>
            <w:vAlign w:val="center"/>
          </w:tcPr>
          <w:p w14:paraId="3A6AE22E">
            <w:pPr>
              <w:jc w:val="both"/>
              <w:rPr>
                <w:rFonts w:hint="eastAsia"/>
              </w:rPr>
            </w:pPr>
            <w:r>
              <w:rPr>
                <w:rFonts w:hint="eastAsia" w:cs="宋体"/>
                <w:bCs/>
              </w:rPr>
              <w:t>是否满足磋商文件要求</w:t>
            </w:r>
          </w:p>
        </w:tc>
        <w:tc>
          <w:tcPr>
            <w:tcW w:w="1134" w:type="dxa"/>
            <w:tcBorders>
              <w:top w:val="single" w:color="auto" w:sz="4" w:space="0"/>
              <w:left w:val="single" w:color="auto" w:sz="4" w:space="0"/>
              <w:bottom w:val="single" w:color="auto" w:sz="4" w:space="0"/>
              <w:right w:val="single" w:color="auto" w:sz="4" w:space="0"/>
            </w:tcBorders>
            <w:vAlign w:val="center"/>
          </w:tcPr>
          <w:p w14:paraId="66F86422">
            <w:pPr>
              <w:spacing w:line="300" w:lineRule="exact"/>
              <w:rPr>
                <w:rFonts w:hint="eastAsia"/>
                <w:b/>
                <w:szCs w:val="21"/>
              </w:rPr>
            </w:pPr>
          </w:p>
        </w:tc>
      </w:tr>
      <w:tr w14:paraId="0F21C56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761" w:type="dxa"/>
            <w:tcBorders>
              <w:top w:val="single" w:color="auto" w:sz="4" w:space="0"/>
              <w:left w:val="single" w:color="auto" w:sz="4" w:space="0"/>
              <w:bottom w:val="single" w:color="auto" w:sz="4" w:space="0"/>
              <w:right w:val="single" w:color="auto" w:sz="4" w:space="0"/>
            </w:tcBorders>
            <w:vAlign w:val="center"/>
          </w:tcPr>
          <w:p w14:paraId="74870E66">
            <w:pPr>
              <w:snapToGrid w:val="0"/>
              <w:spacing w:line="300" w:lineRule="exact"/>
              <w:jc w:val="center"/>
              <w:rPr>
                <w:rFonts w:hint="eastAsia"/>
              </w:rPr>
            </w:pPr>
            <w:r>
              <w:rPr>
                <w:rFonts w:hint="eastAsia"/>
              </w:rPr>
              <w:t>9</w:t>
            </w:r>
          </w:p>
        </w:tc>
        <w:tc>
          <w:tcPr>
            <w:tcW w:w="2041" w:type="dxa"/>
            <w:tcBorders>
              <w:top w:val="single" w:color="auto" w:sz="4" w:space="0"/>
              <w:left w:val="single" w:color="auto" w:sz="4" w:space="0"/>
              <w:bottom w:val="single" w:color="auto" w:sz="4" w:space="0"/>
              <w:right w:val="single" w:color="auto" w:sz="4" w:space="0"/>
            </w:tcBorders>
            <w:vAlign w:val="center"/>
          </w:tcPr>
          <w:p w14:paraId="7C6FBBA8">
            <w:pPr>
              <w:widowControl/>
              <w:spacing w:before="72" w:beforeLines="30" w:after="72" w:afterLines="30" w:line="440" w:lineRule="exact"/>
              <w:rPr>
                <w:rFonts w:hint="eastAsia"/>
              </w:rPr>
            </w:pPr>
            <w:r>
              <w:rPr>
                <w:rFonts w:hint="eastAsia"/>
              </w:rPr>
              <w:t>其它</w:t>
            </w:r>
          </w:p>
        </w:tc>
        <w:tc>
          <w:tcPr>
            <w:tcW w:w="5136" w:type="dxa"/>
            <w:tcBorders>
              <w:top w:val="single" w:color="auto" w:sz="4" w:space="0"/>
              <w:left w:val="single" w:color="auto" w:sz="4" w:space="0"/>
              <w:bottom w:val="single" w:color="auto" w:sz="4" w:space="0"/>
              <w:right w:val="single" w:color="auto" w:sz="4" w:space="0"/>
            </w:tcBorders>
            <w:vAlign w:val="center"/>
          </w:tcPr>
          <w:p w14:paraId="1058E565">
            <w:pPr>
              <w:widowControl/>
              <w:spacing w:before="72" w:beforeLines="30" w:after="72" w:afterLines="30" w:line="440" w:lineRule="exact"/>
              <w:rPr>
                <w:rFonts w:hint="eastAsia"/>
              </w:rPr>
            </w:pPr>
            <w:r>
              <w:rPr>
                <w:rFonts w:hint="eastAsia"/>
              </w:rPr>
              <w:t>无其它无效响应认定条件</w:t>
            </w:r>
          </w:p>
        </w:tc>
        <w:tc>
          <w:tcPr>
            <w:tcW w:w="1134" w:type="dxa"/>
            <w:tcBorders>
              <w:top w:val="single" w:color="auto" w:sz="4" w:space="0"/>
              <w:left w:val="single" w:color="auto" w:sz="4" w:space="0"/>
              <w:bottom w:val="single" w:color="auto" w:sz="4" w:space="0"/>
              <w:right w:val="single" w:color="auto" w:sz="4" w:space="0"/>
            </w:tcBorders>
            <w:vAlign w:val="center"/>
          </w:tcPr>
          <w:p w14:paraId="2ABD9753">
            <w:pPr>
              <w:spacing w:line="300" w:lineRule="exact"/>
              <w:rPr>
                <w:rFonts w:hint="eastAsia"/>
                <w:b/>
                <w:szCs w:val="21"/>
              </w:rPr>
            </w:pPr>
          </w:p>
        </w:tc>
      </w:tr>
      <w:tr w14:paraId="22CFCE2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7938" w:type="dxa"/>
            <w:gridSpan w:val="3"/>
            <w:tcBorders>
              <w:top w:val="single" w:color="auto" w:sz="4" w:space="0"/>
              <w:left w:val="single" w:color="auto" w:sz="4" w:space="0"/>
              <w:bottom w:val="single" w:color="auto" w:sz="4" w:space="0"/>
              <w:right w:val="single" w:color="auto" w:sz="4" w:space="0"/>
            </w:tcBorders>
            <w:vAlign w:val="center"/>
          </w:tcPr>
          <w:p w14:paraId="24A2195F">
            <w:pPr>
              <w:widowControl/>
              <w:spacing w:before="72" w:beforeLines="30" w:after="72" w:afterLines="30" w:line="440" w:lineRule="exact"/>
              <w:jc w:val="center"/>
              <w:rPr>
                <w:rFonts w:hint="eastAsia"/>
              </w:rPr>
            </w:pPr>
            <w:r>
              <w:rPr>
                <w:rFonts w:hint="eastAsia"/>
                <w:b/>
                <w:szCs w:val="21"/>
              </w:rPr>
              <w:t>结论</w:t>
            </w:r>
          </w:p>
        </w:tc>
        <w:tc>
          <w:tcPr>
            <w:tcW w:w="1134" w:type="dxa"/>
            <w:tcBorders>
              <w:top w:val="single" w:color="auto" w:sz="4" w:space="0"/>
              <w:left w:val="single" w:color="auto" w:sz="4" w:space="0"/>
              <w:bottom w:val="single" w:color="auto" w:sz="4" w:space="0"/>
              <w:right w:val="single" w:color="auto" w:sz="4" w:space="0"/>
            </w:tcBorders>
            <w:vAlign w:val="center"/>
          </w:tcPr>
          <w:p w14:paraId="174E43CD">
            <w:pPr>
              <w:spacing w:line="300" w:lineRule="exact"/>
              <w:rPr>
                <w:rFonts w:hint="eastAsia"/>
                <w:b/>
                <w:szCs w:val="21"/>
              </w:rPr>
            </w:pPr>
          </w:p>
        </w:tc>
      </w:tr>
      <w:tr w14:paraId="0228098F">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9072" w:type="dxa"/>
            <w:gridSpan w:val="4"/>
            <w:tcBorders>
              <w:top w:val="single" w:color="auto" w:sz="4" w:space="0"/>
              <w:left w:val="single" w:color="auto" w:sz="4" w:space="0"/>
              <w:bottom w:val="single" w:color="auto" w:sz="4" w:space="0"/>
              <w:right w:val="single" w:color="auto" w:sz="4" w:space="0"/>
            </w:tcBorders>
            <w:vAlign w:val="center"/>
          </w:tcPr>
          <w:p w14:paraId="758705D3">
            <w:pPr>
              <w:snapToGrid w:val="0"/>
              <w:rPr>
                <w:rFonts w:hint="eastAsia"/>
                <w:sz w:val="16"/>
                <w:szCs w:val="16"/>
              </w:rPr>
            </w:pPr>
            <w:r>
              <w:rPr>
                <w:rFonts w:hint="eastAsia"/>
                <w:szCs w:val="21"/>
              </w:rPr>
              <w:t xml:space="preserve">磋商小组：                                             </w:t>
            </w:r>
          </w:p>
          <w:p w14:paraId="4069D5F5">
            <w:pPr>
              <w:snapToGrid w:val="0"/>
              <w:spacing w:line="300" w:lineRule="exact"/>
              <w:jc w:val="right"/>
              <w:rPr>
                <w:rFonts w:hint="eastAsia"/>
                <w:sz w:val="16"/>
                <w:szCs w:val="16"/>
              </w:rPr>
            </w:pPr>
          </w:p>
          <w:p w14:paraId="233031CC">
            <w:pPr>
              <w:spacing w:line="300" w:lineRule="exact"/>
              <w:jc w:val="right"/>
              <w:rPr>
                <w:rFonts w:hint="eastAsia"/>
                <w:b/>
                <w:szCs w:val="21"/>
              </w:rPr>
            </w:pPr>
            <w:r>
              <w:rPr>
                <w:rFonts w:hint="eastAsia"/>
                <w:szCs w:val="21"/>
              </w:rPr>
              <w:t>日期：     年   月   日</w:t>
            </w:r>
          </w:p>
        </w:tc>
      </w:tr>
      <w:tr w14:paraId="4477AF2B">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22" w:hRule="atLeast"/>
        </w:trPr>
        <w:tc>
          <w:tcPr>
            <w:tcW w:w="9072" w:type="dxa"/>
            <w:gridSpan w:val="4"/>
            <w:tcBorders>
              <w:top w:val="single" w:color="auto" w:sz="4" w:space="0"/>
              <w:left w:val="single" w:color="auto" w:sz="4" w:space="0"/>
              <w:bottom w:val="single" w:color="auto" w:sz="4" w:space="0"/>
              <w:right w:val="single" w:color="auto" w:sz="4" w:space="0"/>
            </w:tcBorders>
            <w:vAlign w:val="center"/>
          </w:tcPr>
          <w:p w14:paraId="5A5F1DB9">
            <w:pPr>
              <w:snapToGrid w:val="0"/>
              <w:spacing w:line="300" w:lineRule="exact"/>
              <w:rPr>
                <w:rFonts w:hint="eastAsia"/>
                <w:bCs/>
                <w:szCs w:val="21"/>
              </w:rPr>
            </w:pPr>
            <w:r>
              <w:rPr>
                <w:rFonts w:hint="eastAsia"/>
                <w:b/>
                <w:szCs w:val="21"/>
              </w:rPr>
              <w:t xml:space="preserve">注: </w:t>
            </w:r>
            <w:r>
              <w:rPr>
                <w:rFonts w:hint="eastAsia"/>
                <w:bCs/>
                <w:szCs w:val="21"/>
              </w:rPr>
              <w:t>1、表中只需填写“√/通过”或“×/不通过”。</w:t>
            </w:r>
          </w:p>
          <w:p w14:paraId="0F74023C">
            <w:pPr>
              <w:snapToGrid w:val="0"/>
              <w:spacing w:line="300" w:lineRule="exact"/>
              <w:ind w:firstLine="480" w:firstLineChars="200"/>
              <w:rPr>
                <w:rFonts w:hint="eastAsia"/>
                <w:bCs/>
                <w:szCs w:val="21"/>
              </w:rPr>
            </w:pPr>
            <w:r>
              <w:rPr>
                <w:rFonts w:hint="eastAsia"/>
                <w:bCs/>
                <w:szCs w:val="21"/>
              </w:rPr>
              <w:t>2、在结论中按“一项否决”的原则，只有全部是√/通过的，填写“合格”；只要其中有一项是×/不通过的，填写“不合格”。</w:t>
            </w:r>
          </w:p>
          <w:p w14:paraId="6FA20F26">
            <w:pPr>
              <w:spacing w:line="300" w:lineRule="exact"/>
              <w:ind w:firstLine="480" w:firstLineChars="200"/>
              <w:rPr>
                <w:rFonts w:hint="eastAsia"/>
                <w:b/>
                <w:szCs w:val="21"/>
              </w:rPr>
            </w:pPr>
            <w:r>
              <w:rPr>
                <w:rFonts w:hint="eastAsia"/>
                <w:bCs/>
                <w:szCs w:val="21"/>
              </w:rPr>
              <w:t>3、结论是合格的，才能进入下一轮；不合格的被淘汰。</w:t>
            </w:r>
          </w:p>
        </w:tc>
      </w:tr>
    </w:tbl>
    <w:p w14:paraId="2A730C44">
      <w:pPr>
        <w:pStyle w:val="3"/>
        <w:jc w:val="both"/>
        <w:rPr>
          <w:rFonts w:hint="eastAsia" w:ascii="宋体" w:hAnsi="宋体" w:cs="宋体"/>
          <w:szCs w:val="28"/>
        </w:rPr>
      </w:pPr>
      <w:bookmarkStart w:id="105" w:name="_Toc498670483"/>
      <w:r>
        <w:rPr>
          <w:rFonts w:ascii="宋体" w:hAnsi="宋体" w:cs="宋体"/>
          <w:szCs w:val="28"/>
        </w:rPr>
        <w:br w:type="page"/>
      </w:r>
      <w:r>
        <w:rPr>
          <w:rFonts w:hint="eastAsia" w:ascii="宋体" w:hAnsi="宋体" w:cs="宋体"/>
          <w:szCs w:val="28"/>
        </w:rPr>
        <w:t>技术、商务评分表</w:t>
      </w:r>
    </w:p>
    <w:p w14:paraId="7C35453F">
      <w:pPr>
        <w:rPr>
          <w:rFonts w:hint="eastAsia" w:cs="宋体"/>
        </w:rPr>
      </w:pPr>
      <w:r>
        <w:rPr>
          <w:rFonts w:hint="eastAsia" w:cs="宋体"/>
        </w:rPr>
        <w:t>项目名称：</w:t>
      </w:r>
      <w:r>
        <w:rPr>
          <w:rStyle w:val="90"/>
          <w:rFonts w:hint="eastAsia"/>
          <w:kern w:val="0"/>
        </w:rPr>
        <w:t>海南省儿童青少年心理健康医学中心基础办公信息设备采购项目</w:t>
      </w:r>
    </w:p>
    <w:p w14:paraId="7D46FB23">
      <w:pPr>
        <w:rPr>
          <w:rFonts w:hint="eastAsia" w:cs="宋体"/>
        </w:rPr>
      </w:pPr>
      <w:r>
        <w:rPr>
          <w:rFonts w:hint="eastAsia" w:cs="宋体"/>
        </w:rPr>
        <w:t>项目编号：HNSHB-20250310</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04"/>
        <w:gridCol w:w="1289"/>
        <w:gridCol w:w="6414"/>
        <w:gridCol w:w="708"/>
      </w:tblGrid>
      <w:tr w14:paraId="4B7A4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blHeader/>
        </w:trPr>
        <w:tc>
          <w:tcPr>
            <w:tcW w:w="804" w:type="dxa"/>
            <w:tcBorders>
              <w:top w:val="single" w:color="auto" w:sz="4" w:space="0"/>
              <w:left w:val="single" w:color="auto" w:sz="4" w:space="0"/>
              <w:bottom w:val="single" w:color="auto" w:sz="4" w:space="0"/>
              <w:right w:val="single" w:color="auto" w:sz="4" w:space="0"/>
            </w:tcBorders>
            <w:vAlign w:val="center"/>
          </w:tcPr>
          <w:p w14:paraId="06794E90">
            <w:pPr>
              <w:widowControl/>
              <w:jc w:val="center"/>
              <w:rPr>
                <w:rFonts w:hAnsi="Times New Roman" w:cs="宋体"/>
                <w:b/>
                <w:szCs w:val="21"/>
              </w:rPr>
            </w:pPr>
            <w:r>
              <w:rPr>
                <w:rFonts w:hint="eastAsia" w:cs="宋体"/>
                <w:b/>
                <w:kern w:val="0"/>
                <w:szCs w:val="21"/>
                <w:lang w:bidi="ar"/>
              </w:rPr>
              <w:t>序号</w:t>
            </w:r>
          </w:p>
        </w:tc>
        <w:tc>
          <w:tcPr>
            <w:tcW w:w="1289" w:type="dxa"/>
            <w:tcBorders>
              <w:top w:val="single" w:color="auto" w:sz="4" w:space="0"/>
              <w:left w:val="single" w:color="auto" w:sz="4" w:space="0"/>
              <w:bottom w:val="single" w:color="auto" w:sz="4" w:space="0"/>
              <w:right w:val="single" w:color="auto" w:sz="4" w:space="0"/>
            </w:tcBorders>
            <w:vAlign w:val="center"/>
          </w:tcPr>
          <w:p w14:paraId="1962A8AD">
            <w:pPr>
              <w:widowControl/>
              <w:jc w:val="center"/>
              <w:rPr>
                <w:rFonts w:hAnsi="Times New Roman" w:cs="宋体"/>
                <w:b/>
                <w:szCs w:val="21"/>
              </w:rPr>
            </w:pPr>
            <w:r>
              <w:rPr>
                <w:rFonts w:hint="eastAsia" w:cs="宋体"/>
                <w:b/>
                <w:kern w:val="0"/>
                <w:szCs w:val="21"/>
                <w:lang w:bidi="ar"/>
              </w:rPr>
              <w:t>评审内容</w:t>
            </w:r>
          </w:p>
        </w:tc>
        <w:tc>
          <w:tcPr>
            <w:tcW w:w="6414" w:type="dxa"/>
            <w:tcBorders>
              <w:top w:val="single" w:color="auto" w:sz="4" w:space="0"/>
              <w:left w:val="single" w:color="auto" w:sz="4" w:space="0"/>
              <w:bottom w:val="single" w:color="auto" w:sz="4" w:space="0"/>
              <w:right w:val="single" w:color="auto" w:sz="4" w:space="0"/>
            </w:tcBorders>
            <w:vAlign w:val="center"/>
          </w:tcPr>
          <w:p w14:paraId="57B5D3E2">
            <w:pPr>
              <w:widowControl/>
              <w:jc w:val="center"/>
              <w:rPr>
                <w:rFonts w:hAnsi="Times New Roman" w:cs="宋体"/>
                <w:b/>
                <w:szCs w:val="21"/>
              </w:rPr>
            </w:pPr>
            <w:r>
              <w:rPr>
                <w:rFonts w:hint="eastAsia" w:cs="宋体"/>
                <w:b/>
                <w:kern w:val="0"/>
                <w:szCs w:val="21"/>
                <w:lang w:bidi="ar"/>
              </w:rPr>
              <w:t>评审标准</w:t>
            </w:r>
          </w:p>
        </w:tc>
        <w:tc>
          <w:tcPr>
            <w:tcW w:w="708" w:type="dxa"/>
            <w:tcBorders>
              <w:top w:val="single" w:color="auto" w:sz="4" w:space="0"/>
              <w:left w:val="single" w:color="auto" w:sz="4" w:space="0"/>
              <w:bottom w:val="single" w:color="auto" w:sz="4" w:space="0"/>
              <w:right w:val="single" w:color="auto" w:sz="4" w:space="0"/>
            </w:tcBorders>
            <w:vAlign w:val="center"/>
          </w:tcPr>
          <w:p w14:paraId="37440F06">
            <w:pPr>
              <w:widowControl/>
              <w:jc w:val="center"/>
              <w:rPr>
                <w:rFonts w:hAnsi="Times New Roman" w:cs="宋体"/>
                <w:b/>
                <w:szCs w:val="21"/>
              </w:rPr>
            </w:pPr>
            <w:r>
              <w:rPr>
                <w:rFonts w:hint="eastAsia" w:cs="宋体"/>
                <w:b/>
                <w:kern w:val="0"/>
                <w:szCs w:val="21"/>
                <w:lang w:bidi="ar"/>
              </w:rPr>
              <w:t>分值</w:t>
            </w:r>
          </w:p>
        </w:tc>
      </w:tr>
      <w:tr w14:paraId="35268E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804" w:type="dxa"/>
            <w:tcBorders>
              <w:top w:val="single" w:color="auto" w:sz="4" w:space="0"/>
              <w:left w:val="single" w:color="auto" w:sz="4" w:space="0"/>
              <w:bottom w:val="single" w:color="auto" w:sz="4" w:space="0"/>
              <w:right w:val="single" w:color="auto" w:sz="4" w:space="0"/>
            </w:tcBorders>
            <w:vAlign w:val="center"/>
          </w:tcPr>
          <w:p w14:paraId="2F137C05">
            <w:pPr>
              <w:adjustRightInd w:val="0"/>
              <w:snapToGrid w:val="0"/>
              <w:spacing w:line="300" w:lineRule="auto"/>
              <w:jc w:val="center"/>
              <w:rPr>
                <w:rFonts w:hAnsi="Times New Roman" w:cs="宋体"/>
                <w:b/>
                <w:szCs w:val="21"/>
                <w:lang w:bidi="ar"/>
              </w:rPr>
            </w:pPr>
            <w:r>
              <w:rPr>
                <w:rFonts w:hint="eastAsia" w:hAnsi="Times New Roman" w:cs="宋体"/>
                <w:b/>
                <w:szCs w:val="21"/>
                <w:lang w:bidi="ar"/>
              </w:rPr>
              <w:t>1</w:t>
            </w:r>
          </w:p>
        </w:tc>
        <w:tc>
          <w:tcPr>
            <w:tcW w:w="1289" w:type="dxa"/>
            <w:tcBorders>
              <w:top w:val="single" w:color="auto" w:sz="4" w:space="0"/>
              <w:left w:val="single" w:color="auto" w:sz="4" w:space="0"/>
              <w:bottom w:val="single" w:color="auto" w:sz="4" w:space="0"/>
              <w:right w:val="single" w:color="auto" w:sz="4" w:space="0"/>
            </w:tcBorders>
            <w:vAlign w:val="center"/>
          </w:tcPr>
          <w:p w14:paraId="467AC4C8">
            <w:pPr>
              <w:spacing w:line="300" w:lineRule="auto"/>
              <w:jc w:val="center"/>
              <w:rPr>
                <w:rFonts w:hAnsi="Times New Roman" w:cs="宋体"/>
                <w:b/>
                <w:szCs w:val="21"/>
                <w:lang w:bidi="ar"/>
              </w:rPr>
            </w:pPr>
            <w:r>
              <w:rPr>
                <w:rFonts w:hint="eastAsia" w:hAnsi="Times New Roman" w:cs="宋体"/>
                <w:b/>
                <w:szCs w:val="21"/>
                <w:lang w:bidi="ar"/>
              </w:rPr>
              <w:t>采购需求响应情况</w:t>
            </w:r>
          </w:p>
        </w:tc>
        <w:tc>
          <w:tcPr>
            <w:tcW w:w="6414" w:type="dxa"/>
            <w:tcBorders>
              <w:top w:val="single" w:color="auto" w:sz="4" w:space="0"/>
              <w:left w:val="single" w:color="auto" w:sz="4" w:space="0"/>
              <w:bottom w:val="single" w:color="auto" w:sz="4" w:space="0"/>
              <w:right w:val="single" w:color="auto" w:sz="4" w:space="0"/>
            </w:tcBorders>
            <w:vAlign w:val="center"/>
          </w:tcPr>
          <w:p w14:paraId="6D8E94FB">
            <w:pPr>
              <w:rPr>
                <w:rFonts w:hint="eastAsia" w:cs="宋体"/>
                <w:szCs w:val="21"/>
                <w:lang w:bidi="ar"/>
              </w:rPr>
            </w:pPr>
            <w:r>
              <w:rPr>
                <w:rFonts w:hint="eastAsia" w:cs="宋体"/>
                <w:szCs w:val="21"/>
                <w:lang w:bidi="ar"/>
              </w:rPr>
              <w:t>根据供应商对第三章 采购需求“一、采购内容及技术要求”、“技术参数”的响应情况进行打分：</w:t>
            </w:r>
          </w:p>
          <w:p w14:paraId="27B7F91B">
            <w:pPr>
              <w:rPr>
                <w:rFonts w:hint="eastAsia" w:cs="宋体"/>
                <w:szCs w:val="21"/>
                <w:lang w:bidi="ar"/>
              </w:rPr>
            </w:pPr>
            <w:r>
              <w:rPr>
                <w:rFonts w:hint="eastAsia" w:cs="宋体"/>
                <w:szCs w:val="21"/>
                <w:lang w:bidi="ar"/>
              </w:rPr>
              <w:t>（1）带“▲”为重要技术参数条款，共有42条，有1条不满足或负偏离的扣0.5分，扣完为止，本</w:t>
            </w:r>
            <w:r>
              <w:rPr>
                <w:rFonts w:cs="宋体"/>
                <w:szCs w:val="21"/>
                <w:lang w:bidi="ar"/>
              </w:rPr>
              <w:t>项满分</w:t>
            </w:r>
            <w:r>
              <w:rPr>
                <w:rFonts w:hint="eastAsia" w:cs="宋体"/>
                <w:szCs w:val="21"/>
                <w:lang w:bidi="ar"/>
              </w:rPr>
              <w:t>21</w:t>
            </w:r>
            <w:r>
              <w:rPr>
                <w:rFonts w:cs="宋体"/>
                <w:szCs w:val="21"/>
                <w:lang w:bidi="ar"/>
              </w:rPr>
              <w:t>分。</w:t>
            </w:r>
          </w:p>
          <w:p w14:paraId="60B8DAA9">
            <w:pPr>
              <w:pStyle w:val="38"/>
              <w:ind w:firstLine="0" w:firstLineChars="0"/>
              <w:rPr>
                <w:rFonts w:hint="eastAsia"/>
                <w:lang w:bidi="ar"/>
              </w:rPr>
            </w:pPr>
            <w:r>
              <w:rPr>
                <w:rFonts w:hint="eastAsia"/>
                <w:szCs w:val="21"/>
                <w:lang w:bidi="ar"/>
              </w:rPr>
              <w:t>（2）未带“▲”为普通技术参数条款，共有145条，有1条不满足或负偏离的扣0.2分，扣完为止，本</w:t>
            </w:r>
            <w:r>
              <w:rPr>
                <w:szCs w:val="21"/>
                <w:lang w:bidi="ar"/>
              </w:rPr>
              <w:t>项满分</w:t>
            </w:r>
            <w:r>
              <w:rPr>
                <w:rFonts w:hint="eastAsia"/>
                <w:szCs w:val="21"/>
                <w:lang w:bidi="ar"/>
              </w:rPr>
              <w:t>29</w:t>
            </w:r>
            <w:r>
              <w:rPr>
                <w:szCs w:val="21"/>
                <w:lang w:bidi="ar"/>
              </w:rPr>
              <w:t>分。</w:t>
            </w:r>
          </w:p>
          <w:p w14:paraId="556183A9">
            <w:pPr>
              <w:rPr>
                <w:rFonts w:hint="eastAsia" w:cs="宋体"/>
                <w:szCs w:val="21"/>
                <w:lang w:bidi="ar"/>
              </w:rPr>
            </w:pPr>
            <w:r>
              <w:rPr>
                <w:rFonts w:hint="eastAsia" w:cs="宋体"/>
                <w:szCs w:val="21"/>
                <w:lang w:bidi="ar"/>
              </w:rPr>
              <w:t>注：若采购需求要求提供佐证材料，未按要求提供对应的佐证材料的视为负偏离。</w:t>
            </w:r>
          </w:p>
        </w:tc>
        <w:tc>
          <w:tcPr>
            <w:tcW w:w="708" w:type="dxa"/>
            <w:tcBorders>
              <w:top w:val="single" w:color="auto" w:sz="4" w:space="0"/>
              <w:left w:val="single" w:color="auto" w:sz="4" w:space="0"/>
              <w:bottom w:val="single" w:color="auto" w:sz="4" w:space="0"/>
              <w:right w:val="single" w:color="auto" w:sz="4" w:space="0"/>
            </w:tcBorders>
            <w:vAlign w:val="center"/>
          </w:tcPr>
          <w:p w14:paraId="2A51CFB7">
            <w:pPr>
              <w:spacing w:line="300" w:lineRule="auto"/>
              <w:ind w:left="33"/>
              <w:jc w:val="center"/>
              <w:rPr>
                <w:rFonts w:hAnsi="Times New Roman" w:cs="宋体"/>
                <w:szCs w:val="21"/>
                <w:lang w:bidi="ar"/>
              </w:rPr>
            </w:pPr>
            <w:r>
              <w:rPr>
                <w:rFonts w:hint="eastAsia" w:hAnsi="Times New Roman" w:cs="宋体"/>
                <w:szCs w:val="21"/>
                <w:lang w:bidi="ar"/>
              </w:rPr>
              <w:t>50</w:t>
            </w:r>
          </w:p>
        </w:tc>
      </w:tr>
      <w:tr w14:paraId="1511D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33" w:hRule="atLeast"/>
        </w:trPr>
        <w:tc>
          <w:tcPr>
            <w:tcW w:w="804" w:type="dxa"/>
            <w:tcBorders>
              <w:top w:val="single" w:color="auto" w:sz="4" w:space="0"/>
              <w:left w:val="single" w:color="auto" w:sz="4" w:space="0"/>
              <w:bottom w:val="single" w:color="auto" w:sz="4" w:space="0"/>
              <w:right w:val="single" w:color="auto" w:sz="4" w:space="0"/>
            </w:tcBorders>
            <w:vAlign w:val="center"/>
          </w:tcPr>
          <w:p w14:paraId="11B26E3D">
            <w:pPr>
              <w:adjustRightInd w:val="0"/>
              <w:snapToGrid w:val="0"/>
              <w:spacing w:line="300" w:lineRule="auto"/>
              <w:jc w:val="center"/>
              <w:rPr>
                <w:rFonts w:hAnsi="Times New Roman" w:cs="宋体"/>
                <w:b/>
                <w:szCs w:val="21"/>
              </w:rPr>
            </w:pPr>
            <w:r>
              <w:rPr>
                <w:rFonts w:hint="eastAsia" w:hAnsi="Times New Roman" w:cs="宋体"/>
                <w:b/>
                <w:szCs w:val="21"/>
                <w:lang w:bidi="ar"/>
              </w:rPr>
              <w:t>2</w:t>
            </w:r>
          </w:p>
        </w:tc>
        <w:tc>
          <w:tcPr>
            <w:tcW w:w="1289" w:type="dxa"/>
            <w:tcBorders>
              <w:top w:val="single" w:color="auto" w:sz="4" w:space="0"/>
              <w:left w:val="single" w:color="auto" w:sz="4" w:space="0"/>
              <w:bottom w:val="single" w:color="auto" w:sz="4" w:space="0"/>
              <w:right w:val="single" w:color="auto" w:sz="4" w:space="0"/>
            </w:tcBorders>
            <w:vAlign w:val="center"/>
          </w:tcPr>
          <w:p w14:paraId="076C433D">
            <w:pPr>
              <w:spacing w:line="300" w:lineRule="auto"/>
              <w:jc w:val="center"/>
              <w:rPr>
                <w:rFonts w:hint="eastAsia"/>
              </w:rPr>
            </w:pPr>
            <w:r>
              <w:rPr>
                <w:rFonts w:hint="eastAsia" w:hAnsi="Times New Roman" w:cs="宋体"/>
                <w:b/>
                <w:szCs w:val="21"/>
                <w:lang w:bidi="ar"/>
              </w:rPr>
              <w:t>类似业绩</w:t>
            </w:r>
          </w:p>
        </w:tc>
        <w:tc>
          <w:tcPr>
            <w:tcW w:w="6414" w:type="dxa"/>
            <w:tcBorders>
              <w:top w:val="single" w:color="auto" w:sz="4" w:space="0"/>
              <w:left w:val="single" w:color="auto" w:sz="4" w:space="0"/>
              <w:bottom w:val="single" w:color="auto" w:sz="4" w:space="0"/>
              <w:right w:val="single" w:color="auto" w:sz="4" w:space="0"/>
            </w:tcBorders>
            <w:vAlign w:val="center"/>
          </w:tcPr>
          <w:p w14:paraId="76C574DA">
            <w:pPr>
              <w:rPr>
                <w:rFonts w:hAnsi="Times New Roman" w:cs="宋体"/>
                <w:szCs w:val="21"/>
              </w:rPr>
            </w:pPr>
            <w:r>
              <w:rPr>
                <w:rFonts w:hint="eastAsia" w:cs="宋体"/>
                <w:szCs w:val="21"/>
                <w:lang w:bidi="ar"/>
              </w:rPr>
              <w:t>供应商具备类似供货业绩合同</w:t>
            </w:r>
            <w:r>
              <w:rPr>
                <w:rFonts w:cs="宋体"/>
                <w:szCs w:val="21"/>
                <w:lang w:bidi="ar"/>
              </w:rPr>
              <w:t>的，每提供一个项目业绩合同得</w:t>
            </w:r>
            <w:r>
              <w:rPr>
                <w:rFonts w:hint="eastAsia" w:cs="宋体"/>
                <w:szCs w:val="21"/>
                <w:lang w:bidi="ar"/>
              </w:rPr>
              <w:t>2</w:t>
            </w:r>
            <w:r>
              <w:rPr>
                <w:rFonts w:cs="宋体"/>
                <w:szCs w:val="21"/>
                <w:lang w:bidi="ar"/>
              </w:rPr>
              <w:t>分，满分</w:t>
            </w:r>
            <w:r>
              <w:rPr>
                <w:rFonts w:hint="eastAsia" w:cs="宋体"/>
                <w:szCs w:val="21"/>
                <w:lang w:bidi="ar"/>
              </w:rPr>
              <w:t>4</w:t>
            </w:r>
            <w:r>
              <w:rPr>
                <w:rFonts w:cs="宋体"/>
                <w:szCs w:val="21"/>
                <w:lang w:bidi="ar"/>
              </w:rPr>
              <w:t>分。证明材料:</w:t>
            </w:r>
            <w:r>
              <w:rPr>
                <w:rFonts w:hint="eastAsia" w:cs="宋体"/>
                <w:szCs w:val="21"/>
                <w:lang w:bidi="ar"/>
              </w:rPr>
              <w:t>须提供2022年1月1日至今的业绩合同复印件。</w:t>
            </w:r>
            <w:r>
              <w:rPr>
                <w:rFonts w:cs="宋体"/>
                <w:szCs w:val="21"/>
                <w:lang w:bidi="ar"/>
              </w:rPr>
              <w:t>。</w:t>
            </w:r>
          </w:p>
        </w:tc>
        <w:tc>
          <w:tcPr>
            <w:tcW w:w="708" w:type="dxa"/>
            <w:tcBorders>
              <w:top w:val="single" w:color="auto" w:sz="4" w:space="0"/>
              <w:left w:val="single" w:color="auto" w:sz="4" w:space="0"/>
              <w:bottom w:val="single" w:color="auto" w:sz="4" w:space="0"/>
              <w:right w:val="single" w:color="auto" w:sz="4" w:space="0"/>
            </w:tcBorders>
            <w:vAlign w:val="center"/>
          </w:tcPr>
          <w:p w14:paraId="66586742">
            <w:pPr>
              <w:spacing w:line="300" w:lineRule="auto"/>
              <w:ind w:left="33"/>
              <w:jc w:val="center"/>
              <w:rPr>
                <w:rFonts w:hAnsi="Times New Roman" w:cs="宋体"/>
                <w:szCs w:val="21"/>
              </w:rPr>
            </w:pPr>
            <w:r>
              <w:rPr>
                <w:rFonts w:hint="eastAsia" w:hAnsi="Times New Roman" w:cs="宋体"/>
                <w:szCs w:val="21"/>
                <w:lang w:bidi="ar"/>
              </w:rPr>
              <w:t>4</w:t>
            </w:r>
          </w:p>
        </w:tc>
      </w:tr>
      <w:tr w14:paraId="629C2C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4" w:type="dxa"/>
            <w:tcBorders>
              <w:top w:val="single" w:color="auto" w:sz="4" w:space="0"/>
              <w:left w:val="single" w:color="auto" w:sz="4" w:space="0"/>
              <w:bottom w:val="single" w:color="auto" w:sz="4" w:space="0"/>
              <w:right w:val="single" w:color="auto" w:sz="4" w:space="0"/>
            </w:tcBorders>
            <w:vAlign w:val="center"/>
          </w:tcPr>
          <w:p w14:paraId="4A611941">
            <w:pPr>
              <w:spacing w:line="300" w:lineRule="auto"/>
              <w:jc w:val="center"/>
              <w:rPr>
                <w:rFonts w:hAnsi="Times New Roman" w:cs="宋体"/>
                <w:b/>
                <w:szCs w:val="21"/>
              </w:rPr>
            </w:pPr>
            <w:r>
              <w:rPr>
                <w:rFonts w:hint="eastAsia" w:hAnsi="Times New Roman" w:cs="宋体"/>
                <w:b/>
                <w:szCs w:val="21"/>
                <w:lang w:bidi="ar"/>
              </w:rPr>
              <w:t>3</w:t>
            </w:r>
          </w:p>
        </w:tc>
        <w:tc>
          <w:tcPr>
            <w:tcW w:w="1289" w:type="dxa"/>
            <w:tcBorders>
              <w:top w:val="single" w:color="auto" w:sz="4" w:space="0"/>
              <w:left w:val="single" w:color="auto" w:sz="4" w:space="0"/>
              <w:bottom w:val="single" w:color="auto" w:sz="4" w:space="0"/>
              <w:right w:val="single" w:color="auto" w:sz="4" w:space="0"/>
            </w:tcBorders>
            <w:vAlign w:val="center"/>
          </w:tcPr>
          <w:p w14:paraId="6207BA01">
            <w:pPr>
              <w:spacing w:line="300" w:lineRule="auto"/>
              <w:jc w:val="center"/>
              <w:rPr>
                <w:rFonts w:hAnsi="Times New Roman" w:cs="宋体"/>
                <w:b/>
                <w:szCs w:val="21"/>
              </w:rPr>
            </w:pPr>
            <w:r>
              <w:rPr>
                <w:rFonts w:hint="eastAsia" w:hAnsi="Times New Roman" w:cs="宋体"/>
                <w:b/>
                <w:szCs w:val="21"/>
                <w:lang w:bidi="ar"/>
              </w:rPr>
              <w:t>物流运输保管计划方案</w:t>
            </w:r>
          </w:p>
        </w:tc>
        <w:tc>
          <w:tcPr>
            <w:tcW w:w="6414" w:type="dxa"/>
            <w:tcBorders>
              <w:top w:val="single" w:color="auto" w:sz="4" w:space="0"/>
              <w:left w:val="single" w:color="auto" w:sz="4" w:space="0"/>
              <w:bottom w:val="single" w:color="auto" w:sz="4" w:space="0"/>
              <w:right w:val="single" w:color="auto" w:sz="4" w:space="0"/>
            </w:tcBorders>
            <w:vAlign w:val="center"/>
          </w:tcPr>
          <w:p w14:paraId="6F04B5A6">
            <w:pPr>
              <w:rPr>
                <w:rFonts w:hint="eastAsia"/>
              </w:rPr>
            </w:pPr>
            <w:r>
              <w:rPr>
                <w:rFonts w:hint="eastAsia" w:ascii="Times New Roman" w:hAnsi="Times New Roman" w:cs="宋体"/>
                <w:lang w:bidi="ar"/>
              </w:rPr>
              <w:t>供应商根据本项目的采购需求，编制的方案应至少包含：</w:t>
            </w:r>
            <w:r>
              <w:rPr>
                <w:rFonts w:hint="eastAsia" w:cs="宋体"/>
                <w:b/>
                <w:bCs/>
              </w:rPr>
              <w:t>供货计划流程、运输实施计划、货物配送计划</w:t>
            </w:r>
            <w:bookmarkStart w:id="115" w:name="_GoBack"/>
            <w:bookmarkEnd w:id="115"/>
            <w:r>
              <w:rPr>
                <w:rFonts w:hint="eastAsia" w:cs="宋体"/>
                <w:b/>
                <w:bCs/>
              </w:rPr>
              <w:t>、</w:t>
            </w:r>
            <w:r>
              <w:rPr>
                <w:rFonts w:cs="宋体"/>
                <w:b/>
                <w:bCs/>
              </w:rPr>
              <w:t>保管计划</w:t>
            </w:r>
            <w:r>
              <w:rPr>
                <w:rFonts w:ascii="Times New Roman" w:hAnsi="Times New Roman" w:cs="宋体"/>
                <w:lang w:bidi="ar"/>
              </w:rPr>
              <w:t>。</w:t>
            </w:r>
            <w:r>
              <w:rPr>
                <w:rFonts w:hint="eastAsia" w:ascii="Times New Roman" w:hAnsi="Times New Roman" w:cs="宋体"/>
                <w:lang w:bidi="ar"/>
              </w:rPr>
              <w:t>评委对其进行综合评议，满分4</w:t>
            </w:r>
            <w:r>
              <w:rPr>
                <w:rFonts w:ascii="Times New Roman" w:hAnsi="Times New Roman" w:cs="宋体"/>
                <w:lang w:bidi="ar"/>
              </w:rPr>
              <w:t>分，每有一项缺项的扣</w:t>
            </w:r>
            <w:r>
              <w:rPr>
                <w:rFonts w:hint="eastAsia" w:ascii="Times New Roman" w:hAnsi="Times New Roman" w:cs="宋体"/>
                <w:lang w:bidi="ar"/>
              </w:rPr>
              <w:t>1</w:t>
            </w:r>
            <w:r>
              <w:rPr>
                <w:rFonts w:ascii="Times New Roman" w:hAnsi="Times New Roman" w:cs="宋体"/>
                <w:lang w:bidi="ar"/>
              </w:rPr>
              <w:t>分；在供应商已提供</w:t>
            </w:r>
            <w:r>
              <w:rPr>
                <w:rFonts w:hint="eastAsia" w:ascii="Times New Roman" w:hAnsi="Times New Roman" w:cs="宋体"/>
                <w:lang w:bidi="ar"/>
              </w:rPr>
              <w:t>各项内容</w:t>
            </w:r>
            <w:r>
              <w:rPr>
                <w:rFonts w:ascii="Times New Roman" w:hAnsi="Times New Roman" w:cs="宋体"/>
                <w:lang w:bidi="ar"/>
              </w:rPr>
              <w:t>的基础上，每项</w:t>
            </w:r>
            <w:r>
              <w:rPr>
                <w:rFonts w:hint="eastAsia" w:ascii="Times New Roman" w:hAnsi="Times New Roman" w:cs="宋体"/>
                <w:lang w:bidi="ar"/>
              </w:rPr>
              <w:t>内容内容</w:t>
            </w:r>
            <w:r>
              <w:rPr>
                <w:rFonts w:ascii="Times New Roman" w:hAnsi="Times New Roman" w:cs="宋体"/>
                <w:lang w:bidi="ar"/>
              </w:rPr>
              <w:t>存在一处内容不完整或有缺陷的扣</w:t>
            </w:r>
            <w:r>
              <w:rPr>
                <w:rFonts w:hint="eastAsia" w:ascii="Times New Roman" w:hAnsi="Times New Roman" w:cs="宋体"/>
                <w:lang w:bidi="ar"/>
              </w:rPr>
              <w:t>0.1</w:t>
            </w:r>
            <w:r>
              <w:rPr>
                <w:rFonts w:ascii="Times New Roman" w:hAnsi="Times New Roman" w:cs="宋体"/>
                <w:lang w:bidi="ar"/>
              </w:rPr>
              <w:t>分，扣完为止；未提供不得分。 注：内容不完整或有缺陷是指：非专门针对本项目或不适用本项目需求、内容前后矛盾、涉及的规范及标准错误</w:t>
            </w:r>
            <w:r>
              <w:rPr>
                <w:rFonts w:hint="eastAsia" w:ascii="Times New Roman" w:hAnsi="Times New Roman" w:cs="宋体"/>
                <w:lang w:bidi="ar"/>
              </w:rPr>
              <w:t>、内容简略</w:t>
            </w:r>
            <w:r>
              <w:rPr>
                <w:rFonts w:ascii="Times New Roman" w:hAnsi="Times New Roman" w:cs="宋体"/>
                <w:lang w:bidi="ar"/>
              </w:rPr>
              <w:t>等情形。</w:t>
            </w:r>
          </w:p>
        </w:tc>
        <w:tc>
          <w:tcPr>
            <w:tcW w:w="708" w:type="dxa"/>
            <w:tcBorders>
              <w:top w:val="single" w:color="auto" w:sz="4" w:space="0"/>
              <w:left w:val="single" w:color="auto" w:sz="4" w:space="0"/>
              <w:bottom w:val="single" w:color="auto" w:sz="4" w:space="0"/>
              <w:right w:val="single" w:color="auto" w:sz="4" w:space="0"/>
            </w:tcBorders>
            <w:vAlign w:val="center"/>
          </w:tcPr>
          <w:p w14:paraId="2F8E6B1F">
            <w:pPr>
              <w:spacing w:line="300" w:lineRule="auto"/>
              <w:jc w:val="center"/>
              <w:rPr>
                <w:rFonts w:hint="eastAsia"/>
              </w:rPr>
            </w:pPr>
            <w:r>
              <w:rPr>
                <w:rFonts w:hint="eastAsia" w:ascii="Times New Roman" w:hAnsi="Times New Roman"/>
                <w:lang w:bidi="ar"/>
              </w:rPr>
              <w:t>4</w:t>
            </w:r>
          </w:p>
        </w:tc>
      </w:tr>
      <w:tr w14:paraId="6EFB2C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4" w:type="dxa"/>
            <w:tcBorders>
              <w:top w:val="single" w:color="auto" w:sz="4" w:space="0"/>
              <w:left w:val="single" w:color="auto" w:sz="4" w:space="0"/>
              <w:bottom w:val="single" w:color="auto" w:sz="4" w:space="0"/>
              <w:right w:val="single" w:color="auto" w:sz="4" w:space="0"/>
            </w:tcBorders>
            <w:vAlign w:val="center"/>
          </w:tcPr>
          <w:p w14:paraId="103D2966">
            <w:pPr>
              <w:spacing w:line="300" w:lineRule="auto"/>
              <w:jc w:val="center"/>
              <w:rPr>
                <w:rFonts w:hAnsi="Times New Roman" w:cs="宋体"/>
                <w:b/>
                <w:szCs w:val="21"/>
                <w:lang w:bidi="ar"/>
              </w:rPr>
            </w:pPr>
            <w:r>
              <w:rPr>
                <w:rFonts w:hint="eastAsia" w:hAnsi="Times New Roman" w:cs="宋体"/>
                <w:b/>
                <w:szCs w:val="21"/>
                <w:lang w:bidi="ar"/>
              </w:rPr>
              <w:t>4</w:t>
            </w:r>
          </w:p>
        </w:tc>
        <w:tc>
          <w:tcPr>
            <w:tcW w:w="1289" w:type="dxa"/>
            <w:tcBorders>
              <w:top w:val="single" w:color="auto" w:sz="4" w:space="0"/>
              <w:left w:val="single" w:color="auto" w:sz="4" w:space="0"/>
              <w:bottom w:val="single" w:color="auto" w:sz="4" w:space="0"/>
              <w:right w:val="single" w:color="auto" w:sz="4" w:space="0"/>
            </w:tcBorders>
            <w:vAlign w:val="center"/>
          </w:tcPr>
          <w:p w14:paraId="171C516D">
            <w:pPr>
              <w:spacing w:line="300" w:lineRule="auto"/>
              <w:jc w:val="center"/>
              <w:rPr>
                <w:rFonts w:hAnsi="Times New Roman" w:cs="宋体"/>
                <w:b/>
                <w:szCs w:val="21"/>
                <w:lang w:bidi="ar"/>
              </w:rPr>
            </w:pPr>
            <w:r>
              <w:rPr>
                <w:rFonts w:hint="eastAsia" w:hAnsi="Times New Roman" w:cs="宋体"/>
                <w:b/>
                <w:szCs w:val="21"/>
                <w:lang w:bidi="ar"/>
              </w:rPr>
              <w:t>进度保证方案</w:t>
            </w:r>
          </w:p>
        </w:tc>
        <w:tc>
          <w:tcPr>
            <w:tcW w:w="6414" w:type="dxa"/>
            <w:tcBorders>
              <w:top w:val="single" w:color="auto" w:sz="4" w:space="0"/>
              <w:left w:val="single" w:color="auto" w:sz="4" w:space="0"/>
              <w:bottom w:val="single" w:color="auto" w:sz="4" w:space="0"/>
              <w:right w:val="single" w:color="auto" w:sz="4" w:space="0"/>
            </w:tcBorders>
            <w:vAlign w:val="center"/>
          </w:tcPr>
          <w:p w14:paraId="09A7B83F">
            <w:pPr>
              <w:rPr>
                <w:rFonts w:ascii="Times New Roman" w:hAnsi="Times New Roman" w:cs="宋体"/>
                <w:lang w:bidi="ar"/>
              </w:rPr>
            </w:pPr>
            <w:r>
              <w:rPr>
                <w:rFonts w:hint="eastAsia" w:ascii="Times New Roman" w:hAnsi="Times New Roman" w:cs="宋体"/>
                <w:lang w:bidi="ar"/>
              </w:rPr>
              <w:t>供应商根据本项目的采购需求，编制的方案应至少包含：</w:t>
            </w:r>
            <w:r>
              <w:rPr>
                <w:rFonts w:hint="eastAsia" w:cs="宋体"/>
                <w:b/>
                <w:bCs/>
              </w:rPr>
              <w:t>实施进度规划、执行与控制措施</w:t>
            </w:r>
            <w:r>
              <w:rPr>
                <w:rFonts w:ascii="Times New Roman" w:hAnsi="Times New Roman" w:cs="宋体"/>
                <w:lang w:bidi="ar"/>
              </w:rPr>
              <w:t>。</w:t>
            </w:r>
            <w:r>
              <w:rPr>
                <w:rFonts w:hint="eastAsia" w:ascii="Times New Roman" w:hAnsi="Times New Roman" w:cs="宋体"/>
                <w:lang w:bidi="ar"/>
              </w:rPr>
              <w:t>评委对其进行综合评议，满分4</w:t>
            </w:r>
            <w:r>
              <w:rPr>
                <w:rFonts w:ascii="Times New Roman" w:hAnsi="Times New Roman" w:cs="宋体"/>
                <w:lang w:bidi="ar"/>
              </w:rPr>
              <w:t>分，每有一项缺项的扣</w:t>
            </w:r>
            <w:r>
              <w:rPr>
                <w:rFonts w:hint="eastAsia" w:ascii="Times New Roman" w:hAnsi="Times New Roman" w:cs="宋体"/>
                <w:lang w:bidi="ar"/>
              </w:rPr>
              <w:t>2</w:t>
            </w:r>
            <w:r>
              <w:rPr>
                <w:rFonts w:ascii="Times New Roman" w:hAnsi="Times New Roman" w:cs="宋体"/>
                <w:lang w:bidi="ar"/>
              </w:rPr>
              <w:t>分；在供应商已提供</w:t>
            </w:r>
            <w:r>
              <w:rPr>
                <w:rFonts w:hint="eastAsia" w:ascii="Times New Roman" w:hAnsi="Times New Roman" w:cs="宋体"/>
                <w:lang w:bidi="ar"/>
              </w:rPr>
              <w:t>各项内容</w:t>
            </w:r>
            <w:r>
              <w:rPr>
                <w:rFonts w:ascii="Times New Roman" w:hAnsi="Times New Roman" w:cs="宋体"/>
                <w:lang w:bidi="ar"/>
              </w:rPr>
              <w:t>的基础上，每项</w:t>
            </w:r>
            <w:r>
              <w:rPr>
                <w:rFonts w:hint="eastAsia" w:ascii="Times New Roman" w:hAnsi="Times New Roman" w:cs="宋体"/>
                <w:lang w:bidi="ar"/>
              </w:rPr>
              <w:t>内容内容</w:t>
            </w:r>
            <w:r>
              <w:rPr>
                <w:rFonts w:ascii="Times New Roman" w:hAnsi="Times New Roman" w:cs="宋体"/>
                <w:lang w:bidi="ar"/>
              </w:rPr>
              <w:t>存在一处内容不完整或有缺陷的扣</w:t>
            </w:r>
            <w:r>
              <w:rPr>
                <w:rFonts w:hint="eastAsia" w:ascii="Times New Roman" w:hAnsi="Times New Roman" w:cs="宋体"/>
                <w:lang w:bidi="ar"/>
              </w:rPr>
              <w:t>0.1</w:t>
            </w:r>
            <w:r>
              <w:rPr>
                <w:rFonts w:ascii="Times New Roman" w:hAnsi="Times New Roman" w:cs="宋体"/>
                <w:lang w:bidi="ar"/>
              </w:rPr>
              <w:t>分，扣完为止；未提供不得分。注：内容不完整或有缺陷是指：非专门针对本项目或不适用本项目需求、内容前后矛盾、涉及的规范及标准错误</w:t>
            </w:r>
            <w:r>
              <w:rPr>
                <w:rFonts w:hint="eastAsia" w:ascii="Times New Roman" w:hAnsi="Times New Roman" w:cs="宋体"/>
                <w:lang w:bidi="ar"/>
              </w:rPr>
              <w:t>、内容简略</w:t>
            </w:r>
            <w:r>
              <w:rPr>
                <w:rFonts w:ascii="Times New Roman" w:hAnsi="Times New Roman" w:cs="宋体"/>
                <w:lang w:bidi="ar"/>
              </w:rPr>
              <w:t>等情形。</w:t>
            </w:r>
          </w:p>
        </w:tc>
        <w:tc>
          <w:tcPr>
            <w:tcW w:w="708" w:type="dxa"/>
            <w:tcBorders>
              <w:top w:val="single" w:color="auto" w:sz="4" w:space="0"/>
              <w:left w:val="single" w:color="auto" w:sz="4" w:space="0"/>
              <w:bottom w:val="single" w:color="auto" w:sz="4" w:space="0"/>
              <w:right w:val="single" w:color="auto" w:sz="4" w:space="0"/>
            </w:tcBorders>
            <w:vAlign w:val="center"/>
          </w:tcPr>
          <w:p w14:paraId="57413E60">
            <w:pPr>
              <w:spacing w:line="300" w:lineRule="auto"/>
              <w:jc w:val="center"/>
              <w:rPr>
                <w:rFonts w:ascii="Times New Roman" w:hAnsi="Times New Roman"/>
                <w:lang w:bidi="ar"/>
              </w:rPr>
            </w:pPr>
            <w:r>
              <w:rPr>
                <w:rFonts w:hint="eastAsia" w:ascii="Times New Roman" w:hAnsi="Times New Roman"/>
                <w:lang w:bidi="ar"/>
              </w:rPr>
              <w:t>4</w:t>
            </w:r>
          </w:p>
        </w:tc>
      </w:tr>
      <w:tr w14:paraId="7CDB9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4" w:type="dxa"/>
            <w:tcBorders>
              <w:top w:val="single" w:color="auto" w:sz="4" w:space="0"/>
              <w:left w:val="single" w:color="auto" w:sz="4" w:space="0"/>
              <w:bottom w:val="single" w:color="auto" w:sz="4" w:space="0"/>
              <w:right w:val="single" w:color="auto" w:sz="4" w:space="0"/>
            </w:tcBorders>
            <w:vAlign w:val="center"/>
          </w:tcPr>
          <w:p w14:paraId="300380A6">
            <w:pPr>
              <w:spacing w:line="300" w:lineRule="auto"/>
              <w:jc w:val="center"/>
              <w:rPr>
                <w:rFonts w:hAnsi="Times New Roman" w:cs="宋体"/>
                <w:b/>
                <w:szCs w:val="21"/>
                <w:lang w:bidi="ar"/>
              </w:rPr>
            </w:pPr>
            <w:r>
              <w:rPr>
                <w:rFonts w:hint="eastAsia" w:hAnsi="Times New Roman" w:cs="宋体"/>
                <w:b/>
                <w:szCs w:val="21"/>
                <w:lang w:bidi="ar"/>
              </w:rPr>
              <w:t>5</w:t>
            </w:r>
          </w:p>
        </w:tc>
        <w:tc>
          <w:tcPr>
            <w:tcW w:w="1289" w:type="dxa"/>
            <w:tcBorders>
              <w:top w:val="single" w:color="auto" w:sz="4" w:space="0"/>
              <w:left w:val="single" w:color="auto" w:sz="4" w:space="0"/>
              <w:bottom w:val="single" w:color="auto" w:sz="4" w:space="0"/>
              <w:right w:val="single" w:color="auto" w:sz="4" w:space="0"/>
            </w:tcBorders>
            <w:vAlign w:val="center"/>
          </w:tcPr>
          <w:p w14:paraId="0586E4C7">
            <w:pPr>
              <w:spacing w:line="300" w:lineRule="auto"/>
              <w:jc w:val="center"/>
              <w:rPr>
                <w:rFonts w:hAnsi="Times New Roman" w:cs="宋体"/>
                <w:b/>
                <w:szCs w:val="21"/>
                <w:lang w:bidi="ar"/>
              </w:rPr>
            </w:pPr>
            <w:r>
              <w:rPr>
                <w:rFonts w:hint="eastAsia" w:hAnsi="Times New Roman" w:cs="宋体"/>
                <w:b/>
                <w:szCs w:val="21"/>
                <w:lang w:bidi="ar"/>
              </w:rPr>
              <w:t>安装验收方案</w:t>
            </w:r>
          </w:p>
        </w:tc>
        <w:tc>
          <w:tcPr>
            <w:tcW w:w="6414" w:type="dxa"/>
            <w:tcBorders>
              <w:top w:val="single" w:color="auto" w:sz="4" w:space="0"/>
              <w:left w:val="single" w:color="auto" w:sz="4" w:space="0"/>
              <w:bottom w:val="single" w:color="auto" w:sz="4" w:space="0"/>
              <w:right w:val="single" w:color="auto" w:sz="4" w:space="0"/>
            </w:tcBorders>
            <w:vAlign w:val="center"/>
          </w:tcPr>
          <w:p w14:paraId="1028B245">
            <w:pPr>
              <w:rPr>
                <w:rFonts w:ascii="Times New Roman" w:hAnsi="Times New Roman" w:cs="宋体"/>
                <w:lang w:bidi="ar"/>
              </w:rPr>
            </w:pPr>
            <w:r>
              <w:rPr>
                <w:rFonts w:hint="eastAsia" w:ascii="Times New Roman" w:hAnsi="Times New Roman" w:cs="宋体"/>
                <w:lang w:bidi="ar"/>
              </w:rPr>
              <w:t>供应商根据本项目的采购需求，编制的方案应至少包含：</w:t>
            </w:r>
            <w:r>
              <w:rPr>
                <w:rFonts w:hint="eastAsia" w:cs="宋体"/>
                <w:b/>
                <w:bCs/>
              </w:rPr>
              <w:t>现场组装布置、货物安装、货物调试、货物验收的具体实施措施</w:t>
            </w:r>
            <w:r>
              <w:rPr>
                <w:rFonts w:ascii="Times New Roman" w:hAnsi="Times New Roman" w:cs="宋体"/>
                <w:lang w:bidi="ar"/>
              </w:rPr>
              <w:t>。</w:t>
            </w:r>
            <w:r>
              <w:rPr>
                <w:rFonts w:hint="eastAsia" w:ascii="Times New Roman" w:hAnsi="Times New Roman" w:cs="宋体"/>
                <w:lang w:bidi="ar"/>
              </w:rPr>
              <w:t>评委对其进行综合评议，满分4</w:t>
            </w:r>
            <w:r>
              <w:rPr>
                <w:rFonts w:ascii="Times New Roman" w:hAnsi="Times New Roman" w:cs="宋体"/>
                <w:lang w:bidi="ar"/>
              </w:rPr>
              <w:t>分，每有一项缺项的扣</w:t>
            </w:r>
            <w:r>
              <w:rPr>
                <w:rFonts w:hint="eastAsia" w:ascii="Times New Roman" w:hAnsi="Times New Roman" w:cs="宋体"/>
                <w:lang w:bidi="ar"/>
              </w:rPr>
              <w:t>1</w:t>
            </w:r>
            <w:r>
              <w:rPr>
                <w:rFonts w:ascii="Times New Roman" w:hAnsi="Times New Roman" w:cs="宋体"/>
                <w:lang w:bidi="ar"/>
              </w:rPr>
              <w:t>分；在供应商已提供</w:t>
            </w:r>
            <w:r>
              <w:rPr>
                <w:rFonts w:hint="eastAsia" w:ascii="Times New Roman" w:hAnsi="Times New Roman" w:cs="宋体"/>
                <w:lang w:bidi="ar"/>
              </w:rPr>
              <w:t>各项内容</w:t>
            </w:r>
            <w:r>
              <w:rPr>
                <w:rFonts w:ascii="Times New Roman" w:hAnsi="Times New Roman" w:cs="宋体"/>
                <w:lang w:bidi="ar"/>
              </w:rPr>
              <w:t>的基础上，每项</w:t>
            </w:r>
            <w:r>
              <w:rPr>
                <w:rFonts w:hint="eastAsia" w:ascii="Times New Roman" w:hAnsi="Times New Roman" w:cs="宋体"/>
                <w:lang w:bidi="ar"/>
              </w:rPr>
              <w:t>内容内容</w:t>
            </w:r>
            <w:r>
              <w:rPr>
                <w:rFonts w:ascii="Times New Roman" w:hAnsi="Times New Roman" w:cs="宋体"/>
                <w:lang w:bidi="ar"/>
              </w:rPr>
              <w:t>存在一处内容不完整或有缺陷的扣</w:t>
            </w:r>
            <w:r>
              <w:rPr>
                <w:rFonts w:hint="eastAsia" w:ascii="Times New Roman" w:hAnsi="Times New Roman" w:cs="宋体"/>
                <w:lang w:bidi="ar"/>
              </w:rPr>
              <w:t>0.1</w:t>
            </w:r>
            <w:r>
              <w:rPr>
                <w:rFonts w:ascii="Times New Roman" w:hAnsi="Times New Roman" w:cs="宋体"/>
                <w:lang w:bidi="ar"/>
              </w:rPr>
              <w:t>分，扣完为止；未提供不得分。注：内容不完整或有缺陷是指：非专门针对本项目或不适用本项目需求、内容前后矛盾、涉及的规范及标准错误</w:t>
            </w:r>
            <w:r>
              <w:rPr>
                <w:rFonts w:hint="eastAsia" w:ascii="Times New Roman" w:hAnsi="Times New Roman" w:cs="宋体"/>
                <w:lang w:bidi="ar"/>
              </w:rPr>
              <w:t>、内容简略</w:t>
            </w:r>
            <w:r>
              <w:rPr>
                <w:rFonts w:ascii="Times New Roman" w:hAnsi="Times New Roman" w:cs="宋体"/>
                <w:lang w:bidi="ar"/>
              </w:rPr>
              <w:t>等情形。</w:t>
            </w:r>
          </w:p>
        </w:tc>
        <w:tc>
          <w:tcPr>
            <w:tcW w:w="708" w:type="dxa"/>
            <w:tcBorders>
              <w:top w:val="single" w:color="auto" w:sz="4" w:space="0"/>
              <w:left w:val="single" w:color="auto" w:sz="4" w:space="0"/>
              <w:bottom w:val="single" w:color="auto" w:sz="4" w:space="0"/>
              <w:right w:val="single" w:color="auto" w:sz="4" w:space="0"/>
            </w:tcBorders>
            <w:vAlign w:val="center"/>
          </w:tcPr>
          <w:p w14:paraId="17704729">
            <w:pPr>
              <w:spacing w:line="300" w:lineRule="auto"/>
              <w:jc w:val="center"/>
              <w:rPr>
                <w:rFonts w:ascii="Times New Roman" w:hAnsi="Times New Roman"/>
                <w:lang w:bidi="ar"/>
              </w:rPr>
            </w:pPr>
            <w:r>
              <w:rPr>
                <w:rFonts w:hint="eastAsia" w:ascii="Times New Roman" w:hAnsi="Times New Roman"/>
                <w:lang w:bidi="ar"/>
              </w:rPr>
              <w:t>4</w:t>
            </w:r>
          </w:p>
        </w:tc>
      </w:tr>
      <w:tr w14:paraId="1BBF1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trPr>
        <w:tc>
          <w:tcPr>
            <w:tcW w:w="804" w:type="dxa"/>
            <w:tcBorders>
              <w:top w:val="single" w:color="auto" w:sz="4" w:space="0"/>
              <w:left w:val="single" w:color="auto" w:sz="4" w:space="0"/>
              <w:bottom w:val="single" w:color="auto" w:sz="4" w:space="0"/>
              <w:right w:val="single" w:color="auto" w:sz="4" w:space="0"/>
            </w:tcBorders>
            <w:vAlign w:val="center"/>
          </w:tcPr>
          <w:p w14:paraId="6FD2AA21">
            <w:pPr>
              <w:spacing w:line="300" w:lineRule="auto"/>
              <w:jc w:val="center"/>
              <w:rPr>
                <w:rFonts w:hAnsi="Times New Roman" w:cs="宋体"/>
                <w:b/>
                <w:szCs w:val="21"/>
                <w:lang w:bidi="ar"/>
              </w:rPr>
            </w:pPr>
            <w:r>
              <w:rPr>
                <w:rFonts w:hint="eastAsia" w:hAnsi="Times New Roman" w:cs="宋体"/>
                <w:b/>
                <w:szCs w:val="21"/>
                <w:lang w:bidi="ar"/>
              </w:rPr>
              <w:t>6</w:t>
            </w:r>
          </w:p>
        </w:tc>
        <w:tc>
          <w:tcPr>
            <w:tcW w:w="1289" w:type="dxa"/>
            <w:tcBorders>
              <w:top w:val="single" w:color="auto" w:sz="4" w:space="0"/>
              <w:left w:val="single" w:color="auto" w:sz="4" w:space="0"/>
              <w:bottom w:val="single" w:color="auto" w:sz="4" w:space="0"/>
              <w:right w:val="single" w:color="auto" w:sz="4" w:space="0"/>
            </w:tcBorders>
            <w:vAlign w:val="center"/>
          </w:tcPr>
          <w:p w14:paraId="1AE3D405">
            <w:pPr>
              <w:spacing w:line="300" w:lineRule="auto"/>
              <w:jc w:val="center"/>
              <w:rPr>
                <w:rFonts w:hAnsi="Times New Roman" w:cs="宋体"/>
                <w:b/>
                <w:szCs w:val="21"/>
                <w:lang w:bidi="ar"/>
              </w:rPr>
            </w:pPr>
            <w:r>
              <w:rPr>
                <w:rFonts w:hint="eastAsia" w:hAnsi="Times New Roman" w:cs="宋体"/>
                <w:b/>
                <w:szCs w:val="21"/>
                <w:lang w:bidi="ar"/>
              </w:rPr>
              <w:t>售后服务方案</w:t>
            </w:r>
          </w:p>
        </w:tc>
        <w:tc>
          <w:tcPr>
            <w:tcW w:w="6414" w:type="dxa"/>
            <w:tcBorders>
              <w:top w:val="single" w:color="auto" w:sz="4" w:space="0"/>
              <w:left w:val="single" w:color="auto" w:sz="4" w:space="0"/>
              <w:bottom w:val="single" w:color="auto" w:sz="4" w:space="0"/>
              <w:right w:val="single" w:color="auto" w:sz="4" w:space="0"/>
            </w:tcBorders>
            <w:vAlign w:val="center"/>
          </w:tcPr>
          <w:p w14:paraId="2F5FAE57">
            <w:pPr>
              <w:rPr>
                <w:rFonts w:ascii="Times New Roman" w:hAnsi="Times New Roman" w:cs="宋体"/>
                <w:lang w:bidi="ar"/>
              </w:rPr>
            </w:pPr>
            <w:r>
              <w:rPr>
                <w:rFonts w:hint="eastAsia" w:ascii="Times New Roman" w:hAnsi="Times New Roman" w:cs="宋体"/>
                <w:lang w:bidi="ar"/>
              </w:rPr>
              <w:t>供应商根据本项目的采购需求，编制的方案方案应至少包含：</w:t>
            </w:r>
            <w:r>
              <w:rPr>
                <w:rFonts w:hint="eastAsia" w:asciiTheme="minorEastAsia" w:hAnsiTheme="minorEastAsia" w:eastAsiaTheme="minorEastAsia" w:cstheme="minorEastAsia"/>
                <w:b/>
                <w:bCs/>
                <w:szCs w:val="21"/>
              </w:rPr>
              <w:t>售后服务体系、售后服务承诺、售后服务团队配备、售后问题的具体处理</w:t>
            </w:r>
            <w:r>
              <w:rPr>
                <w:rFonts w:ascii="Times New Roman" w:hAnsi="Times New Roman" w:cs="宋体"/>
                <w:lang w:bidi="ar"/>
              </w:rPr>
              <w:t>。</w:t>
            </w:r>
            <w:r>
              <w:rPr>
                <w:rFonts w:hint="eastAsia" w:ascii="Times New Roman" w:hAnsi="Times New Roman" w:cs="宋体"/>
                <w:lang w:bidi="ar"/>
              </w:rPr>
              <w:t>评委对其进行综合评议，满分4</w:t>
            </w:r>
            <w:r>
              <w:rPr>
                <w:rFonts w:ascii="Times New Roman" w:hAnsi="Times New Roman" w:cs="宋体"/>
                <w:lang w:bidi="ar"/>
              </w:rPr>
              <w:t>分，每有一项缺项的扣</w:t>
            </w:r>
            <w:r>
              <w:rPr>
                <w:rFonts w:hint="eastAsia" w:ascii="Times New Roman" w:hAnsi="Times New Roman" w:cs="宋体"/>
                <w:lang w:bidi="ar"/>
              </w:rPr>
              <w:t>1</w:t>
            </w:r>
            <w:r>
              <w:rPr>
                <w:rFonts w:ascii="Times New Roman" w:hAnsi="Times New Roman" w:cs="宋体"/>
                <w:lang w:bidi="ar"/>
              </w:rPr>
              <w:t>分；在供应商已提供</w:t>
            </w:r>
            <w:r>
              <w:rPr>
                <w:rFonts w:hint="eastAsia" w:ascii="Times New Roman" w:hAnsi="Times New Roman" w:cs="宋体"/>
                <w:lang w:bidi="ar"/>
              </w:rPr>
              <w:t>各项内容</w:t>
            </w:r>
            <w:r>
              <w:rPr>
                <w:rFonts w:ascii="Times New Roman" w:hAnsi="Times New Roman" w:cs="宋体"/>
                <w:lang w:bidi="ar"/>
              </w:rPr>
              <w:t>的基础上，每项</w:t>
            </w:r>
            <w:r>
              <w:rPr>
                <w:rFonts w:hint="eastAsia" w:ascii="Times New Roman" w:hAnsi="Times New Roman" w:cs="宋体"/>
                <w:lang w:bidi="ar"/>
              </w:rPr>
              <w:t>内容内容</w:t>
            </w:r>
            <w:r>
              <w:rPr>
                <w:rFonts w:ascii="Times New Roman" w:hAnsi="Times New Roman" w:cs="宋体"/>
                <w:lang w:bidi="ar"/>
              </w:rPr>
              <w:t>存在一处内容不完整或有缺陷的扣</w:t>
            </w:r>
            <w:r>
              <w:rPr>
                <w:rFonts w:hint="eastAsia" w:ascii="Times New Roman" w:hAnsi="Times New Roman" w:cs="宋体"/>
                <w:lang w:bidi="ar"/>
              </w:rPr>
              <w:t>0.1</w:t>
            </w:r>
            <w:r>
              <w:rPr>
                <w:rFonts w:ascii="Times New Roman" w:hAnsi="Times New Roman" w:cs="宋体"/>
                <w:lang w:bidi="ar"/>
              </w:rPr>
              <w:t>分，扣完为止；未提供不得分。注：内容不完整或有缺陷是指：非专门针对本项目或不适用本项目需求、内容前后矛盾、涉及的规范及标准错误</w:t>
            </w:r>
            <w:r>
              <w:rPr>
                <w:rFonts w:hint="eastAsia" w:ascii="Times New Roman" w:hAnsi="Times New Roman" w:cs="宋体"/>
                <w:lang w:bidi="ar"/>
              </w:rPr>
              <w:t>、内容简略</w:t>
            </w:r>
            <w:r>
              <w:rPr>
                <w:rFonts w:ascii="Times New Roman" w:hAnsi="Times New Roman" w:cs="宋体"/>
                <w:lang w:bidi="ar"/>
              </w:rPr>
              <w:t>等情形。</w:t>
            </w:r>
          </w:p>
        </w:tc>
        <w:tc>
          <w:tcPr>
            <w:tcW w:w="708" w:type="dxa"/>
            <w:tcBorders>
              <w:top w:val="single" w:color="auto" w:sz="4" w:space="0"/>
              <w:left w:val="single" w:color="auto" w:sz="4" w:space="0"/>
              <w:bottom w:val="single" w:color="auto" w:sz="4" w:space="0"/>
              <w:right w:val="single" w:color="auto" w:sz="4" w:space="0"/>
            </w:tcBorders>
            <w:vAlign w:val="center"/>
          </w:tcPr>
          <w:p w14:paraId="5AFED4D5">
            <w:pPr>
              <w:spacing w:line="300" w:lineRule="auto"/>
              <w:jc w:val="center"/>
              <w:rPr>
                <w:rFonts w:ascii="Times New Roman" w:hAnsi="Times New Roman"/>
                <w:lang w:bidi="ar"/>
              </w:rPr>
            </w:pPr>
            <w:r>
              <w:rPr>
                <w:rFonts w:hint="eastAsia" w:ascii="Times New Roman" w:hAnsi="Times New Roman"/>
                <w:lang w:bidi="ar"/>
              </w:rPr>
              <w:t>4</w:t>
            </w:r>
          </w:p>
        </w:tc>
      </w:tr>
      <w:tr w14:paraId="169C8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4" w:hRule="atLeast"/>
        </w:trPr>
        <w:tc>
          <w:tcPr>
            <w:tcW w:w="8507" w:type="dxa"/>
            <w:gridSpan w:val="3"/>
            <w:tcBorders>
              <w:top w:val="single" w:color="auto" w:sz="4" w:space="0"/>
              <w:left w:val="single" w:color="auto" w:sz="4" w:space="0"/>
              <w:bottom w:val="single" w:color="auto" w:sz="4" w:space="0"/>
              <w:right w:val="single" w:color="auto" w:sz="4" w:space="0"/>
            </w:tcBorders>
            <w:vAlign w:val="center"/>
          </w:tcPr>
          <w:p w14:paraId="1B119672">
            <w:pPr>
              <w:jc w:val="center"/>
              <w:rPr>
                <w:rFonts w:hAnsi="Times New Roman" w:cs="宋体"/>
                <w:szCs w:val="21"/>
              </w:rPr>
            </w:pPr>
            <w:r>
              <w:rPr>
                <w:rFonts w:hint="eastAsia" w:hAnsi="Times New Roman" w:cs="宋体"/>
                <w:b/>
                <w:szCs w:val="21"/>
                <w:lang w:bidi="ar"/>
              </w:rPr>
              <w:t>合计</w:t>
            </w:r>
          </w:p>
        </w:tc>
        <w:tc>
          <w:tcPr>
            <w:tcW w:w="708" w:type="dxa"/>
            <w:tcBorders>
              <w:top w:val="single" w:color="auto" w:sz="4" w:space="0"/>
              <w:left w:val="single" w:color="auto" w:sz="4" w:space="0"/>
              <w:bottom w:val="single" w:color="auto" w:sz="4" w:space="0"/>
              <w:right w:val="single" w:color="auto" w:sz="4" w:space="0"/>
            </w:tcBorders>
            <w:vAlign w:val="center"/>
          </w:tcPr>
          <w:p w14:paraId="1A1945B5">
            <w:pPr>
              <w:spacing w:line="300" w:lineRule="auto"/>
              <w:jc w:val="center"/>
              <w:rPr>
                <w:rFonts w:hAnsi="Times New Roman" w:cs="宋体"/>
                <w:szCs w:val="21"/>
              </w:rPr>
            </w:pPr>
            <w:r>
              <w:rPr>
                <w:rFonts w:hint="eastAsia" w:hAnsi="Times New Roman" w:cs="宋体"/>
                <w:szCs w:val="21"/>
                <w:lang w:bidi="ar"/>
              </w:rPr>
              <w:t>70</w:t>
            </w:r>
          </w:p>
        </w:tc>
      </w:tr>
    </w:tbl>
    <w:p w14:paraId="4EFE532E">
      <w:pPr>
        <w:pStyle w:val="2"/>
        <w:spacing w:line="240" w:lineRule="auto"/>
        <w:rPr>
          <w:rFonts w:hint="eastAsia" w:ascii="宋体" w:hAnsi="宋体" w:cs="宋体"/>
        </w:rPr>
      </w:pPr>
      <w:r>
        <w:rPr>
          <w:rFonts w:ascii="宋体" w:hAnsi="宋体" w:cs="宋体"/>
        </w:rPr>
        <w:br w:type="page"/>
      </w:r>
      <w:bookmarkEnd w:id="105"/>
      <w:bookmarkStart w:id="106" w:name="_Toc194273473"/>
      <w:r>
        <w:rPr>
          <w:rFonts w:hint="eastAsia" w:ascii="宋体" w:hAnsi="宋体" w:cs="宋体"/>
        </w:rPr>
        <w:t xml:space="preserve">第五章  </w:t>
      </w:r>
      <w:bookmarkEnd w:id="102"/>
      <w:bookmarkEnd w:id="103"/>
      <w:r>
        <w:rPr>
          <w:rFonts w:hint="eastAsia" w:ascii="宋体" w:hAnsi="宋体" w:cs="宋体"/>
        </w:rPr>
        <w:t>合同草案条款</w:t>
      </w:r>
      <w:bookmarkEnd w:id="106"/>
    </w:p>
    <w:p w14:paraId="55CD6372">
      <w:pPr>
        <w:jc w:val="center"/>
        <w:rPr>
          <w:rFonts w:hint="eastAsia" w:cs="宋体"/>
          <w:sz w:val="32"/>
          <w:szCs w:val="32"/>
        </w:rPr>
      </w:pPr>
    </w:p>
    <w:p w14:paraId="0F41F401">
      <w:pPr>
        <w:jc w:val="center"/>
        <w:rPr>
          <w:rFonts w:hint="eastAsia"/>
          <w:bCs/>
        </w:rPr>
      </w:pPr>
      <w:r>
        <w:rPr>
          <w:rFonts w:hint="eastAsia"/>
          <w:bCs/>
        </w:rPr>
        <w:t>（格式内容仅供参考，以双方最终协议为准）</w:t>
      </w:r>
    </w:p>
    <w:p w14:paraId="26A48521">
      <w:pPr>
        <w:rPr>
          <w:rFonts w:hint="eastAsia"/>
        </w:rPr>
      </w:pPr>
      <w:r>
        <w:rPr>
          <w:rFonts w:hint="eastAsia"/>
        </w:rPr>
        <w:t xml:space="preserve">                                            合同编号：</w:t>
      </w:r>
    </w:p>
    <w:p w14:paraId="63D8811A">
      <w:pPr>
        <w:snapToGrid w:val="0"/>
        <w:spacing w:before="19" w:line="280" w:lineRule="exact"/>
        <w:rPr>
          <w:rFonts w:hint="eastAsia"/>
        </w:rPr>
      </w:pPr>
    </w:p>
    <w:p w14:paraId="5CF133A5">
      <w:pPr>
        <w:ind w:right="36" w:rightChars="15" w:firstLine="480"/>
        <w:rPr>
          <w:rFonts w:hint="eastAsia"/>
          <w:bCs/>
        </w:rPr>
      </w:pPr>
      <w:r>
        <w:rPr>
          <w:rFonts w:hint="eastAsia"/>
          <w:bCs/>
        </w:rPr>
        <w:t>甲方（采购人）：</w:t>
      </w:r>
    </w:p>
    <w:p w14:paraId="541F9105">
      <w:pPr>
        <w:ind w:right="36" w:rightChars="15" w:firstLine="480"/>
        <w:rPr>
          <w:rFonts w:hint="eastAsia"/>
          <w:bCs/>
        </w:rPr>
      </w:pPr>
      <w:r>
        <w:rPr>
          <w:rFonts w:hint="eastAsia"/>
          <w:bCs/>
        </w:rPr>
        <w:t>乙方（成交供应商）：</w:t>
      </w:r>
    </w:p>
    <w:p w14:paraId="6B49733A">
      <w:pPr>
        <w:snapToGrid w:val="0"/>
        <w:spacing w:before="19" w:line="280" w:lineRule="exact"/>
        <w:rPr>
          <w:rFonts w:hint="eastAsia"/>
        </w:rPr>
      </w:pPr>
    </w:p>
    <w:p w14:paraId="5FEDC374">
      <w:pPr>
        <w:snapToGrid w:val="0"/>
        <w:ind w:firstLine="480"/>
        <w:rPr>
          <w:rFonts w:hint="eastAsia"/>
        </w:rPr>
      </w:pPr>
      <w:r>
        <w:rPr>
          <w:rFonts w:hint="eastAsia"/>
        </w:rPr>
        <w:t>甲乙双方根据年月日</w:t>
      </w:r>
      <w:r>
        <w:rPr>
          <w:rFonts w:hint="eastAsia"/>
          <w:u w:val="single"/>
        </w:rPr>
        <w:t xml:space="preserve">   项目名称       </w:t>
      </w:r>
      <w:r>
        <w:rPr>
          <w:rFonts w:hint="eastAsia"/>
        </w:rPr>
        <w:t>（项目编号:    ）（包号：   ）采购结果及磋商文件的要求,经协商一致,</w:t>
      </w:r>
      <w:r>
        <w:rPr>
          <w:rFonts w:hint="eastAsia" w:cs="宋体"/>
        </w:rPr>
        <w:t>愿意共同遵守并履行本合同各条款。</w:t>
      </w:r>
    </w:p>
    <w:p w14:paraId="55D9377F">
      <w:pPr>
        <w:rPr>
          <w:rFonts w:hint="eastAsia"/>
          <w:b/>
        </w:rPr>
      </w:pPr>
      <w:r>
        <w:rPr>
          <w:rFonts w:hint="eastAsia"/>
          <w:b/>
        </w:rPr>
        <w:t>一、项目名称（标的名称）、合同总价、标的内容、数量、质量、价款或服务内容、服务要求、服务标准、服务时间等</w:t>
      </w:r>
    </w:p>
    <w:p w14:paraId="04D9F02A">
      <w:pPr>
        <w:tabs>
          <w:tab w:val="left" w:pos="1004"/>
        </w:tabs>
        <w:ind w:firstLine="480"/>
        <w:rPr>
          <w:rFonts w:hint="eastAsia"/>
          <w:bCs/>
        </w:rPr>
      </w:pPr>
      <w:r>
        <w:rPr>
          <w:rFonts w:hint="eastAsia"/>
          <w:bCs/>
        </w:rPr>
        <w:t>1.项目名称：；</w:t>
      </w:r>
    </w:p>
    <w:p w14:paraId="38839A9C">
      <w:pPr>
        <w:tabs>
          <w:tab w:val="left" w:pos="1004"/>
        </w:tabs>
        <w:ind w:firstLine="480" w:firstLineChars="200"/>
        <w:rPr>
          <w:rFonts w:hint="eastAsia"/>
          <w:bCs/>
        </w:rPr>
      </w:pPr>
      <w:r>
        <w:rPr>
          <w:rFonts w:hint="eastAsia"/>
          <w:bCs/>
        </w:rPr>
        <w:t>2.合同总价：</w:t>
      </w:r>
      <w:r>
        <w:rPr>
          <w:rFonts w:hint="eastAsia"/>
          <w:bCs/>
          <w:u w:val="single"/>
        </w:rPr>
        <w:t xml:space="preserve">（小写）                      </w:t>
      </w:r>
      <w:r>
        <w:rPr>
          <w:rFonts w:hint="eastAsia"/>
          <w:bCs/>
        </w:rPr>
        <w:t>；</w:t>
      </w:r>
    </w:p>
    <w:p w14:paraId="5AB8DB5F">
      <w:pPr>
        <w:tabs>
          <w:tab w:val="left" w:pos="1004"/>
        </w:tabs>
        <w:ind w:firstLine="480"/>
        <w:rPr>
          <w:rFonts w:hint="eastAsia"/>
          <w:bCs/>
        </w:rPr>
      </w:pPr>
      <w:r>
        <w:rPr>
          <w:rFonts w:hint="eastAsia"/>
          <w:bCs/>
          <w:u w:val="single"/>
        </w:rPr>
        <w:t xml:space="preserve">（大写）                      </w:t>
      </w:r>
      <w:r>
        <w:rPr>
          <w:rFonts w:hint="eastAsia"/>
          <w:bCs/>
        </w:rPr>
        <w:t>；</w:t>
      </w:r>
    </w:p>
    <w:p w14:paraId="30CB7FD8">
      <w:pPr>
        <w:tabs>
          <w:tab w:val="left" w:pos="1004"/>
        </w:tabs>
        <w:ind w:firstLine="480"/>
        <w:rPr>
          <w:rFonts w:hint="eastAsia"/>
          <w:bCs/>
        </w:rPr>
      </w:pPr>
      <w:r>
        <w:rPr>
          <w:rFonts w:hint="eastAsia"/>
          <w:bCs/>
        </w:rPr>
        <w:t>合同总价为完成项目的含税包干价，甲方不再另付任何费用。</w:t>
      </w:r>
    </w:p>
    <w:p w14:paraId="3D1613DF">
      <w:pPr>
        <w:pStyle w:val="19"/>
        <w:snapToGrid/>
        <w:rPr>
          <w:rFonts w:hint="eastAsia"/>
        </w:rPr>
      </w:pPr>
    </w:p>
    <w:p w14:paraId="579B1E37">
      <w:pPr>
        <w:tabs>
          <w:tab w:val="left" w:pos="1004"/>
        </w:tabs>
        <w:rPr>
          <w:rFonts w:hint="eastAsia"/>
          <w:b/>
          <w:bCs/>
        </w:rPr>
      </w:pPr>
      <w:r>
        <w:rPr>
          <w:rFonts w:hint="eastAsia"/>
          <w:b/>
          <w:bCs/>
        </w:rPr>
        <w:t>二、合同履行时间及方式、地点</w:t>
      </w:r>
    </w:p>
    <w:p w14:paraId="0D73394B">
      <w:pPr>
        <w:tabs>
          <w:tab w:val="left" w:pos="1004"/>
        </w:tabs>
        <w:ind w:firstLine="480"/>
        <w:rPr>
          <w:rFonts w:hint="eastAsia"/>
          <w:bCs/>
        </w:rPr>
      </w:pPr>
      <w:r>
        <w:rPr>
          <w:rFonts w:hint="eastAsia"/>
          <w:bCs/>
        </w:rPr>
        <w:t>1.合同履行时间及方式：。</w:t>
      </w:r>
    </w:p>
    <w:p w14:paraId="21C1B904">
      <w:pPr>
        <w:tabs>
          <w:tab w:val="left" w:pos="1004"/>
        </w:tabs>
        <w:ind w:firstLine="480"/>
        <w:rPr>
          <w:rFonts w:hint="eastAsia"/>
          <w:bCs/>
        </w:rPr>
      </w:pPr>
      <w:r>
        <w:rPr>
          <w:rFonts w:hint="eastAsia"/>
          <w:bCs/>
        </w:rPr>
        <w:t>2.履约地点：。</w:t>
      </w:r>
    </w:p>
    <w:p w14:paraId="1E7BAB77">
      <w:pPr>
        <w:tabs>
          <w:tab w:val="left" w:pos="1004"/>
        </w:tabs>
        <w:rPr>
          <w:rFonts w:hint="eastAsia"/>
          <w:b/>
          <w:bCs/>
        </w:rPr>
      </w:pPr>
      <w:r>
        <w:rPr>
          <w:rFonts w:hint="eastAsia"/>
          <w:b/>
          <w:bCs/>
        </w:rPr>
        <w:t>三、付款方式、付款时间</w:t>
      </w:r>
    </w:p>
    <w:p w14:paraId="012E6A2F">
      <w:pPr>
        <w:tabs>
          <w:tab w:val="left" w:pos="1004"/>
        </w:tabs>
        <w:ind w:firstLine="480" w:firstLineChars="200"/>
        <w:rPr>
          <w:rFonts w:hint="eastAsia"/>
          <w:bCs/>
        </w:rPr>
      </w:pPr>
      <w:r>
        <w:rPr>
          <w:rFonts w:hint="eastAsia"/>
          <w:bCs/>
        </w:rPr>
        <w:t>1.付款方式：。</w:t>
      </w:r>
    </w:p>
    <w:p w14:paraId="7EB812C2">
      <w:pPr>
        <w:tabs>
          <w:tab w:val="left" w:pos="1004"/>
        </w:tabs>
        <w:ind w:firstLine="480"/>
        <w:rPr>
          <w:rFonts w:hint="eastAsia"/>
          <w:bCs/>
        </w:rPr>
      </w:pPr>
      <w:r>
        <w:rPr>
          <w:rFonts w:hint="eastAsia"/>
          <w:bCs/>
        </w:rPr>
        <w:t>2.付款时间：。</w:t>
      </w:r>
    </w:p>
    <w:p w14:paraId="5BCF3104">
      <w:pPr>
        <w:tabs>
          <w:tab w:val="left" w:pos="1004"/>
        </w:tabs>
        <w:rPr>
          <w:rFonts w:hint="eastAsia"/>
          <w:b/>
          <w:bCs/>
        </w:rPr>
      </w:pPr>
      <w:r>
        <w:rPr>
          <w:rFonts w:hint="eastAsia"/>
          <w:b/>
          <w:bCs/>
        </w:rPr>
        <w:t>四、验收</w:t>
      </w:r>
    </w:p>
    <w:p w14:paraId="657EBB31">
      <w:pPr>
        <w:tabs>
          <w:tab w:val="left" w:pos="1004"/>
        </w:tabs>
        <w:ind w:firstLine="480" w:firstLineChars="200"/>
        <w:rPr>
          <w:rFonts w:hint="eastAsia"/>
          <w:bCs/>
        </w:rPr>
      </w:pPr>
      <w:r>
        <w:rPr>
          <w:rFonts w:hint="eastAsia"/>
          <w:bCs/>
        </w:rPr>
        <w:t>1.验收方式：。</w:t>
      </w:r>
    </w:p>
    <w:p w14:paraId="1033F1D3">
      <w:pPr>
        <w:tabs>
          <w:tab w:val="left" w:pos="1004"/>
        </w:tabs>
        <w:ind w:firstLine="480" w:firstLineChars="200"/>
        <w:rPr>
          <w:rFonts w:hint="eastAsia"/>
          <w:bCs/>
        </w:rPr>
      </w:pPr>
      <w:r>
        <w:rPr>
          <w:rFonts w:hint="eastAsia"/>
          <w:bCs/>
        </w:rPr>
        <w:t>2.验收标准：。</w:t>
      </w:r>
    </w:p>
    <w:p w14:paraId="64BA3450">
      <w:pPr>
        <w:tabs>
          <w:tab w:val="left" w:pos="1004"/>
        </w:tabs>
        <w:rPr>
          <w:rFonts w:hint="eastAsia"/>
          <w:b/>
          <w:bCs/>
        </w:rPr>
      </w:pPr>
      <w:r>
        <w:rPr>
          <w:rFonts w:hint="eastAsia"/>
          <w:b/>
          <w:bCs/>
        </w:rPr>
        <w:t>五、违约责任</w:t>
      </w:r>
    </w:p>
    <w:p w14:paraId="575B2939">
      <w:pPr>
        <w:ind w:firstLine="480"/>
        <w:rPr>
          <w:rFonts w:hint="eastAsia"/>
        </w:rPr>
      </w:pPr>
      <w:r>
        <w:rPr>
          <w:rFonts w:hint="eastAsia"/>
        </w:rPr>
        <w:t>1</w:t>
      </w:r>
      <w:r>
        <w:rPr>
          <w:rFonts w:hint="eastAsia"/>
          <w:bCs/>
        </w:rPr>
        <w:t>.</w:t>
      </w:r>
      <w:r>
        <w:rPr>
          <w:rFonts w:hint="eastAsia"/>
        </w:rPr>
        <w:t>乙方所提供的服务质量、拟投入人员不符合合同规定的，由乙方负责按照原磋商文件、更正公告内容和质疑答疑文件、响应文件、成交供应商等实质性内容重新免费提供该项目服务内容。</w:t>
      </w:r>
    </w:p>
    <w:p w14:paraId="4F4B866B">
      <w:pPr>
        <w:tabs>
          <w:tab w:val="left" w:pos="945"/>
          <w:tab w:val="left" w:pos="1506"/>
        </w:tabs>
        <w:ind w:firstLine="480" w:firstLineChars="200"/>
        <w:rPr>
          <w:rFonts w:hint="eastAsia"/>
          <w:bCs/>
        </w:rPr>
      </w:pPr>
      <w:r>
        <w:rPr>
          <w:rFonts w:hint="eastAsia"/>
          <w:bCs/>
        </w:rPr>
        <w:t>2.甲方违反合同规定的，应当承担由此对乙方造成的损失。</w:t>
      </w:r>
    </w:p>
    <w:p w14:paraId="030B84F4">
      <w:pPr>
        <w:tabs>
          <w:tab w:val="left" w:pos="945"/>
          <w:tab w:val="left" w:pos="1506"/>
        </w:tabs>
        <w:ind w:firstLine="480" w:firstLineChars="200"/>
        <w:rPr>
          <w:rFonts w:hint="eastAsia"/>
          <w:bCs/>
        </w:rPr>
      </w:pPr>
      <w:r>
        <w:rPr>
          <w:rFonts w:hint="eastAsia"/>
          <w:bCs/>
        </w:rPr>
        <w:t>3.其他：。</w:t>
      </w:r>
    </w:p>
    <w:p w14:paraId="6E903A2B">
      <w:pPr>
        <w:tabs>
          <w:tab w:val="left" w:pos="1004"/>
        </w:tabs>
        <w:rPr>
          <w:rFonts w:hint="eastAsia"/>
          <w:b/>
          <w:bCs/>
        </w:rPr>
      </w:pPr>
      <w:r>
        <w:rPr>
          <w:rFonts w:hint="eastAsia"/>
          <w:b/>
          <w:bCs/>
        </w:rPr>
        <w:t>六、解决争议的办法</w:t>
      </w:r>
    </w:p>
    <w:p w14:paraId="61AFE2A8">
      <w:pPr>
        <w:tabs>
          <w:tab w:val="left" w:pos="1004"/>
        </w:tabs>
        <w:ind w:firstLine="480" w:firstLineChars="200"/>
        <w:rPr>
          <w:rFonts w:hint="eastAsia"/>
          <w:bCs/>
        </w:rPr>
      </w:pPr>
      <w:r>
        <w:rPr>
          <w:rFonts w:hint="eastAsia"/>
          <w:bCs/>
        </w:rPr>
        <w:t>合同实施或与合同有关的一切争议应通过双方友好协商解决。如果友好协商不能解决，作如下处理：</w:t>
      </w:r>
    </w:p>
    <w:p w14:paraId="0D5EF8AF">
      <w:pPr>
        <w:tabs>
          <w:tab w:val="left" w:pos="1004"/>
        </w:tabs>
        <w:ind w:firstLine="480" w:firstLineChars="200"/>
        <w:rPr>
          <w:rFonts w:hint="eastAsia"/>
          <w:bCs/>
        </w:rPr>
      </w:pPr>
      <w:r>
        <w:rPr>
          <w:rFonts w:hint="eastAsia"/>
          <w:bCs/>
        </w:rPr>
        <w:t>（1）申请仲裁。仲裁机构为海南仲裁委员会。</w:t>
      </w:r>
    </w:p>
    <w:p w14:paraId="71E7F4AF">
      <w:pPr>
        <w:tabs>
          <w:tab w:val="left" w:pos="1004"/>
        </w:tabs>
        <w:ind w:firstLine="480" w:firstLineChars="200"/>
        <w:rPr>
          <w:rFonts w:hint="eastAsia"/>
          <w:bCs/>
        </w:rPr>
      </w:pPr>
      <w:r>
        <w:rPr>
          <w:rFonts w:hint="eastAsia"/>
          <w:bCs/>
        </w:rPr>
        <w:t>（2）提起诉讼。诉讼地点为采购人所在地。</w:t>
      </w:r>
    </w:p>
    <w:p w14:paraId="02D4E050">
      <w:pPr>
        <w:snapToGrid w:val="0"/>
        <w:rPr>
          <w:rFonts w:hint="eastAsia"/>
          <w:b/>
        </w:rPr>
      </w:pPr>
      <w:r>
        <w:rPr>
          <w:rFonts w:hint="eastAsia"/>
          <w:b/>
        </w:rPr>
        <w:t>七、合同生效</w:t>
      </w:r>
    </w:p>
    <w:p w14:paraId="280E8049">
      <w:pPr>
        <w:snapToGrid w:val="0"/>
        <w:ind w:firstLine="480" w:firstLineChars="200"/>
        <w:rPr>
          <w:rFonts w:hint="eastAsia"/>
        </w:rPr>
      </w:pPr>
      <w:r>
        <w:rPr>
          <w:rFonts w:hint="eastAsia"/>
        </w:rPr>
        <w:t>本合同由甲乙双方签字盖章后生效。</w:t>
      </w:r>
    </w:p>
    <w:p w14:paraId="1BF96A03">
      <w:pPr>
        <w:tabs>
          <w:tab w:val="left" w:pos="1255"/>
        </w:tabs>
        <w:ind w:right="36" w:rightChars="15"/>
        <w:rPr>
          <w:rFonts w:hint="eastAsia"/>
          <w:bCs/>
        </w:rPr>
      </w:pPr>
      <w:r>
        <w:rPr>
          <w:rFonts w:hint="eastAsia"/>
          <w:b/>
        </w:rPr>
        <w:t>八、其他未尽事宜由甲乙双方友好协商确定。</w:t>
      </w:r>
    </w:p>
    <w:p w14:paraId="21F5DC0E">
      <w:pPr>
        <w:snapToGrid w:val="0"/>
        <w:rPr>
          <w:rFonts w:hint="eastAsia"/>
          <w:b/>
        </w:rPr>
      </w:pPr>
      <w:r>
        <w:rPr>
          <w:rFonts w:hint="eastAsia"/>
          <w:b/>
        </w:rPr>
        <w:t>九、合同鉴证</w:t>
      </w:r>
    </w:p>
    <w:p w14:paraId="7F78DB80">
      <w:pPr>
        <w:tabs>
          <w:tab w:val="left" w:pos="1004"/>
        </w:tabs>
        <w:ind w:right="36" w:rightChars="15" w:firstLine="480"/>
        <w:rPr>
          <w:rFonts w:hint="eastAsia"/>
        </w:rPr>
      </w:pPr>
      <w:r>
        <w:rPr>
          <w:rFonts w:hint="eastAsia"/>
        </w:rPr>
        <w:t>采购代理机构应当在本合同上签章，以证明本合同条款与磋商文件、响应文件的相关要求相符并且未对采购内容或技术参数进行实质性修改。</w:t>
      </w:r>
    </w:p>
    <w:p w14:paraId="2868384D">
      <w:pPr>
        <w:snapToGrid w:val="0"/>
        <w:spacing w:before="19"/>
        <w:rPr>
          <w:rFonts w:hint="eastAsia"/>
        </w:rPr>
      </w:pPr>
      <w:r>
        <w:rPr>
          <w:rFonts w:hint="eastAsia"/>
          <w:b/>
        </w:rPr>
        <w:t>十、本合同的组成文件</w:t>
      </w:r>
    </w:p>
    <w:p w14:paraId="07BF5EB1">
      <w:pPr>
        <w:snapToGrid w:val="0"/>
        <w:spacing w:before="19"/>
        <w:ind w:left="555"/>
        <w:rPr>
          <w:rFonts w:hint="eastAsia"/>
        </w:rPr>
      </w:pPr>
      <w:r>
        <w:rPr>
          <w:rFonts w:hint="eastAsia" w:cs="宋体"/>
        </w:rPr>
        <w:t>1.</w:t>
      </w:r>
      <w:r>
        <w:rPr>
          <w:rFonts w:hint="eastAsia"/>
        </w:rPr>
        <w:t>竞争性磋商文件</w:t>
      </w:r>
      <w:r>
        <w:rPr>
          <w:rFonts w:hint="eastAsia" w:cs="宋体"/>
        </w:rPr>
        <w:t>、乙方的响应文件和评审时的澄清函（如有）；</w:t>
      </w:r>
    </w:p>
    <w:p w14:paraId="7F3638E6">
      <w:pPr>
        <w:snapToGrid w:val="0"/>
        <w:spacing w:before="19"/>
        <w:ind w:left="555"/>
        <w:rPr>
          <w:rFonts w:hint="eastAsia"/>
        </w:rPr>
      </w:pPr>
      <w:r>
        <w:rPr>
          <w:rFonts w:hint="eastAsia" w:cs="宋体"/>
        </w:rPr>
        <w:t>2.成交通知书；</w:t>
      </w:r>
    </w:p>
    <w:p w14:paraId="71EE20A0">
      <w:pPr>
        <w:snapToGrid w:val="0"/>
        <w:spacing w:before="19"/>
        <w:ind w:left="555"/>
        <w:rPr>
          <w:rFonts w:hint="eastAsia"/>
        </w:rPr>
      </w:pPr>
      <w:r>
        <w:rPr>
          <w:rFonts w:hint="eastAsia" w:cs="宋体"/>
        </w:rPr>
        <w:t>3.甲乙双方商定的其他必要文件。</w:t>
      </w:r>
    </w:p>
    <w:p w14:paraId="092D7124">
      <w:pPr>
        <w:snapToGrid w:val="0"/>
        <w:spacing w:before="19"/>
        <w:ind w:firstLine="480"/>
        <w:rPr>
          <w:rFonts w:hint="eastAsia"/>
        </w:rPr>
      </w:pPr>
      <w:r>
        <w:rPr>
          <w:rFonts w:hint="eastAsia" w:cs="宋体"/>
          <w:bCs/>
        </w:rPr>
        <w:t>上述合同文件内容互为补充，如有不明确，由甲方负责解释。</w:t>
      </w:r>
    </w:p>
    <w:p w14:paraId="5FA8AF11">
      <w:pPr>
        <w:snapToGrid w:val="0"/>
        <w:spacing w:before="19"/>
        <w:rPr>
          <w:rFonts w:hint="eastAsia"/>
        </w:rPr>
      </w:pPr>
      <w:r>
        <w:rPr>
          <w:rFonts w:hint="eastAsia" w:cs="宋体"/>
          <w:b/>
        </w:rPr>
        <w:t>十一、合同备案</w:t>
      </w:r>
    </w:p>
    <w:p w14:paraId="2BC4207D">
      <w:pPr>
        <w:snapToGrid w:val="0"/>
        <w:spacing w:before="19"/>
        <w:ind w:firstLine="480"/>
        <w:rPr>
          <w:rFonts w:hint="eastAsia"/>
        </w:rPr>
      </w:pPr>
      <w:r>
        <w:rPr>
          <w:rFonts w:hint="eastAsia"/>
          <w:bCs/>
        </w:rPr>
        <w:t>本合同一式份，中文书写。甲方份、乙方份，采购代理机构壹份，政府采购行政主管部门壹份。</w:t>
      </w:r>
    </w:p>
    <w:p w14:paraId="1C8A39FC">
      <w:pPr>
        <w:snapToGrid w:val="0"/>
        <w:spacing w:before="19" w:line="500" w:lineRule="exact"/>
        <w:ind w:firstLine="480" w:firstLineChars="200"/>
        <w:rPr>
          <w:rFonts w:hint="eastAsia"/>
          <w:bCs/>
        </w:rPr>
      </w:pPr>
    </w:p>
    <w:p w14:paraId="7EFD3E1A">
      <w:pPr>
        <w:snapToGrid w:val="0"/>
        <w:spacing w:before="19"/>
        <w:ind w:firstLine="482"/>
        <w:rPr>
          <w:rFonts w:hint="eastAsia"/>
        </w:rPr>
      </w:pPr>
      <w:r>
        <w:rPr>
          <w:rFonts w:hint="eastAsia"/>
          <w:b/>
        </w:rPr>
        <w:t>甲方：</w:t>
      </w:r>
      <w:r>
        <w:rPr>
          <w:rFonts w:hint="eastAsia"/>
          <w:b/>
          <w:u w:val="single"/>
        </w:rPr>
        <w:t>（盖章）</w:t>
      </w:r>
      <w:r>
        <w:rPr>
          <w:rFonts w:hint="eastAsia"/>
          <w:b/>
        </w:rPr>
        <w:t>乙方：</w:t>
      </w:r>
      <w:r>
        <w:rPr>
          <w:rFonts w:hint="eastAsia"/>
          <w:b/>
          <w:u w:val="single"/>
        </w:rPr>
        <w:t>（盖章）</w:t>
      </w:r>
    </w:p>
    <w:p w14:paraId="08F26206">
      <w:pPr>
        <w:snapToGrid w:val="0"/>
        <w:spacing w:before="19"/>
        <w:ind w:firstLine="480"/>
        <w:rPr>
          <w:rFonts w:hint="eastAsia"/>
          <w:u w:val="single"/>
        </w:rPr>
      </w:pPr>
      <w:r>
        <w:rPr>
          <w:rFonts w:hint="eastAsia"/>
        </w:rPr>
        <w:t>地址：地址：</w:t>
      </w:r>
    </w:p>
    <w:p w14:paraId="5E1EA203">
      <w:pPr>
        <w:snapToGrid w:val="0"/>
        <w:spacing w:before="19"/>
        <w:ind w:firstLine="480"/>
        <w:rPr>
          <w:rFonts w:hint="eastAsia"/>
          <w:u w:val="single"/>
        </w:rPr>
      </w:pPr>
      <w:r>
        <w:rPr>
          <w:rFonts w:hint="eastAsia"/>
        </w:rPr>
        <w:t>法定（或授权）代表人：法定（或授权）代表人：</w:t>
      </w:r>
    </w:p>
    <w:p w14:paraId="06BA00F2">
      <w:pPr>
        <w:snapToGrid w:val="0"/>
        <w:spacing w:before="19"/>
        <w:ind w:firstLine="480"/>
        <w:rPr>
          <w:rFonts w:hint="eastAsia"/>
          <w:u w:val="single"/>
        </w:rPr>
      </w:pPr>
      <w:r>
        <w:rPr>
          <w:rFonts w:hint="eastAsia"/>
        </w:rPr>
        <w:t>联系人：                   联系人：</w:t>
      </w:r>
    </w:p>
    <w:p w14:paraId="1A893896">
      <w:pPr>
        <w:snapToGrid w:val="0"/>
        <w:spacing w:before="19"/>
        <w:ind w:firstLine="480"/>
        <w:rPr>
          <w:rFonts w:hint="eastAsia"/>
          <w:u w:val="single"/>
        </w:rPr>
      </w:pPr>
      <w:r>
        <w:rPr>
          <w:rFonts w:hint="eastAsia"/>
        </w:rPr>
        <w:t>联系电话：                   联系电话：</w:t>
      </w:r>
    </w:p>
    <w:p w14:paraId="200C050F">
      <w:pPr>
        <w:snapToGrid w:val="0"/>
        <w:spacing w:before="19"/>
        <w:ind w:firstLine="480"/>
        <w:rPr>
          <w:rFonts w:hint="eastAsia"/>
          <w:u w:val="single"/>
        </w:rPr>
      </w:pPr>
      <w:r>
        <w:rPr>
          <w:rFonts w:hint="eastAsia"/>
        </w:rPr>
        <w:t>账号：              账号：</w:t>
      </w:r>
    </w:p>
    <w:p w14:paraId="66CC1700">
      <w:pPr>
        <w:snapToGrid w:val="0"/>
        <w:spacing w:before="19"/>
        <w:ind w:firstLine="480"/>
        <w:rPr>
          <w:rFonts w:hint="eastAsia"/>
          <w:u w:val="single"/>
        </w:rPr>
      </w:pPr>
      <w:r>
        <w:rPr>
          <w:rFonts w:hint="eastAsia"/>
        </w:rPr>
        <w:t>开户行：              开户行：</w:t>
      </w:r>
    </w:p>
    <w:p w14:paraId="2FE2F359">
      <w:pPr>
        <w:snapToGrid w:val="0"/>
        <w:spacing w:before="19"/>
        <w:ind w:firstLine="480"/>
        <w:rPr>
          <w:rFonts w:hint="eastAsia"/>
        </w:rPr>
      </w:pPr>
      <w:r>
        <w:rPr>
          <w:rFonts w:hint="eastAsia"/>
        </w:rPr>
        <w:t>年月日年月日</w:t>
      </w:r>
    </w:p>
    <w:p w14:paraId="7A599605">
      <w:pPr>
        <w:snapToGrid w:val="0"/>
        <w:spacing w:before="19"/>
        <w:ind w:firstLine="482" w:firstLineChars="200"/>
        <w:rPr>
          <w:rFonts w:hint="eastAsia"/>
          <w:b/>
        </w:rPr>
      </w:pPr>
    </w:p>
    <w:p w14:paraId="0DB905AF">
      <w:pPr>
        <w:snapToGrid w:val="0"/>
        <w:spacing w:before="19"/>
        <w:ind w:firstLine="482" w:firstLineChars="200"/>
        <w:rPr>
          <w:rFonts w:hint="eastAsia"/>
          <w:b/>
        </w:rPr>
      </w:pPr>
      <w:r>
        <w:rPr>
          <w:rFonts w:hint="eastAsia"/>
          <w:b/>
        </w:rPr>
        <w:t>采购代理机构声明：本合同标的经</w:t>
      </w:r>
      <w:r>
        <w:rPr>
          <w:rFonts w:hint="eastAsia"/>
          <w:b/>
          <w:u w:val="single"/>
        </w:rPr>
        <w:t>海南省实博招标代理有限公司</w:t>
      </w:r>
      <w:r>
        <w:rPr>
          <w:rFonts w:hint="eastAsia"/>
          <w:b/>
        </w:rPr>
        <w:t>依法定程序签订，合同条款内容与竞争性磋商文件、响应文件的内容一致。</w:t>
      </w:r>
    </w:p>
    <w:p w14:paraId="206FB21E">
      <w:pPr>
        <w:snapToGrid w:val="0"/>
        <w:spacing w:before="19"/>
        <w:rPr>
          <w:rFonts w:hint="eastAsia"/>
          <w:b/>
        </w:rPr>
      </w:pPr>
    </w:p>
    <w:p w14:paraId="72D40BDA">
      <w:pPr>
        <w:snapToGrid w:val="0"/>
        <w:spacing w:before="19"/>
        <w:rPr>
          <w:rFonts w:hint="eastAsia"/>
          <w:b/>
        </w:rPr>
      </w:pPr>
      <w:r>
        <w:rPr>
          <w:rFonts w:hint="eastAsia"/>
          <w:b/>
        </w:rPr>
        <w:t>采购代理机构：</w:t>
      </w:r>
      <w:r>
        <w:rPr>
          <w:rFonts w:hint="eastAsia"/>
          <w:b/>
          <w:u w:val="single"/>
        </w:rPr>
        <w:t>海南省实博招标代理有限公司</w:t>
      </w:r>
      <w:r>
        <w:rPr>
          <w:rFonts w:hint="eastAsia"/>
          <w:b/>
        </w:rPr>
        <w:t>（盖章）</w:t>
      </w:r>
    </w:p>
    <w:p w14:paraId="2D3A4D4F">
      <w:pPr>
        <w:snapToGrid w:val="0"/>
        <w:spacing w:before="19"/>
        <w:rPr>
          <w:rFonts w:hint="eastAsia"/>
          <w:b/>
        </w:rPr>
      </w:pPr>
      <w:r>
        <w:rPr>
          <w:rFonts w:hint="eastAsia"/>
          <w:b/>
        </w:rPr>
        <w:t>地址：</w:t>
      </w:r>
      <w:r>
        <w:rPr>
          <w:rFonts w:hint="eastAsia"/>
          <w:b/>
          <w:u w:val="single"/>
        </w:rPr>
        <w:t>海南省海口市秀英区永万路22号二楼海南省实博招标代理有限公司</w:t>
      </w:r>
    </w:p>
    <w:p w14:paraId="482116CD">
      <w:pPr>
        <w:snapToGrid w:val="0"/>
        <w:spacing w:before="19"/>
        <w:rPr>
          <w:rFonts w:hint="eastAsia"/>
          <w:b/>
        </w:rPr>
      </w:pPr>
      <w:r>
        <w:rPr>
          <w:rFonts w:hint="eastAsia"/>
          <w:b/>
        </w:rPr>
        <w:t>电话：</w:t>
      </w:r>
      <w:r>
        <w:rPr>
          <w:rFonts w:hint="eastAsia"/>
          <w:b/>
          <w:u w:val="single"/>
        </w:rPr>
        <w:t>0898-68602571</w:t>
      </w:r>
    </w:p>
    <w:p w14:paraId="42D4ACC9">
      <w:pPr>
        <w:snapToGrid w:val="0"/>
        <w:spacing w:before="19" w:line="500" w:lineRule="exact"/>
        <w:rPr>
          <w:rFonts w:hint="eastAsia"/>
        </w:rPr>
      </w:pPr>
      <w:r>
        <w:rPr>
          <w:rFonts w:hint="eastAsia"/>
        </w:rPr>
        <w:t>经办人：</w:t>
      </w:r>
    </w:p>
    <w:p w14:paraId="6D8011BF">
      <w:pPr>
        <w:snapToGrid w:val="0"/>
        <w:spacing w:before="19" w:line="500" w:lineRule="exact"/>
        <w:rPr>
          <w:rFonts w:hint="eastAsia"/>
        </w:rPr>
      </w:pPr>
    </w:p>
    <w:p w14:paraId="4A363000">
      <w:pPr>
        <w:rPr>
          <w:rFonts w:hint="eastAsia"/>
        </w:rPr>
      </w:pPr>
      <w:r>
        <w:rPr>
          <w:rFonts w:hint="eastAsia"/>
        </w:rPr>
        <w:t>年月日</w:t>
      </w:r>
    </w:p>
    <w:p w14:paraId="392E13D4">
      <w:pPr>
        <w:rPr>
          <w:rFonts w:hint="eastAsia"/>
        </w:rPr>
      </w:pPr>
    </w:p>
    <w:p w14:paraId="3B6D771E">
      <w:pPr>
        <w:pStyle w:val="2"/>
      </w:pPr>
      <w:r>
        <w:rPr>
          <w:rFonts w:ascii="宋体" w:hAnsi="宋体" w:cs="宋体"/>
          <w:kern w:val="0"/>
        </w:rPr>
        <w:br w:type="page"/>
      </w:r>
      <w:bookmarkStart w:id="107" w:name="_Toc194273474"/>
      <w:bookmarkStart w:id="108" w:name="_Toc23519093"/>
      <w:r>
        <w:rPr>
          <w:rFonts w:hint="eastAsia"/>
        </w:rPr>
        <w:t>第六章  响应文件内容和格式</w:t>
      </w:r>
      <w:bookmarkEnd w:id="107"/>
      <w:bookmarkEnd w:id="108"/>
    </w:p>
    <w:p w14:paraId="6ECE2921">
      <w:pPr>
        <w:jc w:val="center"/>
        <w:rPr>
          <w:rFonts w:hint="eastAsia" w:cs="宋体"/>
          <w:sz w:val="32"/>
          <w:szCs w:val="32"/>
        </w:rPr>
      </w:pPr>
    </w:p>
    <w:p w14:paraId="55FB4C3D">
      <w:pPr>
        <w:pStyle w:val="19"/>
        <w:rPr>
          <w:rFonts w:hint="eastAsia"/>
        </w:rPr>
      </w:pPr>
    </w:p>
    <w:p w14:paraId="483E2C42">
      <w:pPr>
        <w:pStyle w:val="19"/>
        <w:rPr>
          <w:rFonts w:hint="eastAsia"/>
        </w:rPr>
      </w:pPr>
    </w:p>
    <w:p w14:paraId="788520C6">
      <w:pPr>
        <w:pStyle w:val="19"/>
        <w:rPr>
          <w:rFonts w:hint="eastAsia"/>
        </w:rPr>
      </w:pPr>
    </w:p>
    <w:p w14:paraId="721BC09F">
      <w:pPr>
        <w:jc w:val="center"/>
        <w:rPr>
          <w:rFonts w:hint="eastAsia"/>
          <w:sz w:val="36"/>
          <w:szCs w:val="36"/>
          <w:u w:val="single"/>
        </w:rPr>
      </w:pPr>
    </w:p>
    <w:p w14:paraId="3D71E924">
      <w:pPr>
        <w:jc w:val="center"/>
        <w:rPr>
          <w:rFonts w:hint="eastAsia"/>
          <w:sz w:val="36"/>
          <w:szCs w:val="36"/>
          <w:u w:val="single"/>
        </w:rPr>
      </w:pPr>
      <w:r>
        <w:rPr>
          <w:rFonts w:hint="eastAsia"/>
          <w:sz w:val="36"/>
          <w:szCs w:val="36"/>
          <w:u w:val="single"/>
        </w:rPr>
        <w:t xml:space="preserve">            （项目名称）</w:t>
      </w:r>
    </w:p>
    <w:p w14:paraId="6CA64BC9">
      <w:pPr>
        <w:pStyle w:val="19"/>
        <w:tabs>
          <w:tab w:val="left" w:pos="6663"/>
        </w:tabs>
        <w:jc w:val="center"/>
        <w:rPr>
          <w:rFonts w:hint="eastAsia"/>
          <w:sz w:val="36"/>
          <w:szCs w:val="36"/>
        </w:rPr>
      </w:pPr>
      <w:r>
        <w:rPr>
          <w:rFonts w:hint="eastAsia"/>
          <w:sz w:val="36"/>
          <w:szCs w:val="36"/>
        </w:rPr>
        <w:t>项目编号：</w:t>
      </w:r>
      <w:r>
        <w:rPr>
          <w:rFonts w:hint="eastAsia"/>
          <w:sz w:val="36"/>
          <w:szCs w:val="36"/>
          <w:u w:val="single"/>
        </w:rPr>
        <w:tab/>
      </w:r>
      <w:r>
        <w:rPr>
          <w:rFonts w:hint="eastAsia"/>
          <w:sz w:val="36"/>
          <w:szCs w:val="36"/>
          <w:u w:val="single"/>
        </w:rPr>
        <w:t xml:space="preserve"> </w:t>
      </w:r>
    </w:p>
    <w:p w14:paraId="1BFCAA27">
      <w:pPr>
        <w:pStyle w:val="19"/>
        <w:jc w:val="center"/>
        <w:rPr>
          <w:rFonts w:hint="eastAsia"/>
          <w:sz w:val="36"/>
          <w:szCs w:val="36"/>
        </w:rPr>
      </w:pPr>
    </w:p>
    <w:p w14:paraId="15AAF97A">
      <w:pPr>
        <w:pStyle w:val="19"/>
        <w:jc w:val="center"/>
        <w:rPr>
          <w:rFonts w:hint="eastAsia"/>
          <w:sz w:val="36"/>
          <w:szCs w:val="36"/>
        </w:rPr>
      </w:pPr>
    </w:p>
    <w:p w14:paraId="016749FD">
      <w:pPr>
        <w:pStyle w:val="19"/>
        <w:jc w:val="center"/>
        <w:rPr>
          <w:rFonts w:hint="eastAsia"/>
          <w:sz w:val="36"/>
          <w:szCs w:val="36"/>
        </w:rPr>
      </w:pPr>
      <w:r>
        <w:rPr>
          <w:rFonts w:hint="eastAsia"/>
          <w:sz w:val="36"/>
          <w:szCs w:val="36"/>
        </w:rPr>
        <w:t>响应文件</w:t>
      </w:r>
    </w:p>
    <w:p w14:paraId="3C1E6304">
      <w:pPr>
        <w:pStyle w:val="19"/>
        <w:jc w:val="center"/>
        <w:rPr>
          <w:rFonts w:hint="eastAsia"/>
          <w:sz w:val="36"/>
          <w:szCs w:val="36"/>
        </w:rPr>
      </w:pPr>
    </w:p>
    <w:p w14:paraId="46903598">
      <w:pPr>
        <w:pStyle w:val="19"/>
        <w:jc w:val="center"/>
        <w:rPr>
          <w:rFonts w:hint="eastAsia"/>
          <w:sz w:val="36"/>
          <w:szCs w:val="36"/>
        </w:rPr>
      </w:pPr>
    </w:p>
    <w:p w14:paraId="643DE296">
      <w:pPr>
        <w:pStyle w:val="19"/>
        <w:jc w:val="center"/>
        <w:rPr>
          <w:rFonts w:hint="eastAsia"/>
          <w:sz w:val="36"/>
          <w:szCs w:val="36"/>
        </w:rPr>
      </w:pPr>
    </w:p>
    <w:p w14:paraId="33FB9069">
      <w:pPr>
        <w:pStyle w:val="19"/>
        <w:jc w:val="center"/>
        <w:rPr>
          <w:rFonts w:hint="eastAsia"/>
          <w:sz w:val="36"/>
          <w:szCs w:val="36"/>
        </w:rPr>
      </w:pPr>
    </w:p>
    <w:p w14:paraId="61C8304F">
      <w:pPr>
        <w:pStyle w:val="19"/>
        <w:jc w:val="center"/>
        <w:rPr>
          <w:rFonts w:hint="eastAsia"/>
          <w:sz w:val="36"/>
          <w:szCs w:val="36"/>
        </w:rPr>
      </w:pPr>
    </w:p>
    <w:p w14:paraId="0CBA19B3">
      <w:pPr>
        <w:pStyle w:val="19"/>
        <w:tabs>
          <w:tab w:val="center" w:pos="7230"/>
          <w:tab w:val="clear" w:pos="4153"/>
        </w:tabs>
        <w:ind w:left="809" w:leftChars="337"/>
        <w:rPr>
          <w:rFonts w:hint="eastAsia"/>
          <w:sz w:val="36"/>
          <w:szCs w:val="36"/>
          <w:u w:val="single"/>
        </w:rPr>
      </w:pPr>
      <w:r>
        <w:rPr>
          <w:rFonts w:hint="eastAsia"/>
          <w:sz w:val="36"/>
          <w:szCs w:val="36"/>
        </w:rPr>
        <w:t>供应商（盖章）：</w:t>
      </w:r>
      <w:r>
        <w:rPr>
          <w:rFonts w:hint="eastAsia"/>
          <w:sz w:val="36"/>
          <w:szCs w:val="36"/>
          <w:u w:val="single"/>
        </w:rPr>
        <w:tab/>
      </w:r>
    </w:p>
    <w:p w14:paraId="34BA076E">
      <w:pPr>
        <w:pStyle w:val="19"/>
        <w:ind w:left="809" w:leftChars="337"/>
        <w:rPr>
          <w:rFonts w:hint="eastAsia"/>
          <w:sz w:val="36"/>
          <w:szCs w:val="36"/>
        </w:rPr>
      </w:pPr>
      <w:r>
        <w:rPr>
          <w:rFonts w:hint="eastAsia"/>
          <w:sz w:val="36"/>
          <w:szCs w:val="36"/>
        </w:rPr>
        <w:t xml:space="preserve">法定代表人或授权委托代理人（签字或盖章）：     </w:t>
      </w:r>
    </w:p>
    <w:p w14:paraId="10DD141E">
      <w:pPr>
        <w:pStyle w:val="19"/>
        <w:ind w:left="809" w:leftChars="337"/>
        <w:jc w:val="center"/>
        <w:rPr>
          <w:rFonts w:hint="eastAsia"/>
          <w:sz w:val="36"/>
          <w:szCs w:val="36"/>
        </w:rPr>
      </w:pPr>
    </w:p>
    <w:p w14:paraId="3EC1A019">
      <w:pPr>
        <w:pStyle w:val="19"/>
        <w:ind w:left="809" w:leftChars="337"/>
        <w:jc w:val="center"/>
        <w:rPr>
          <w:rFonts w:hint="eastAsia"/>
          <w:sz w:val="36"/>
          <w:szCs w:val="36"/>
        </w:rPr>
      </w:pPr>
      <w:r>
        <w:rPr>
          <w:rFonts w:hint="eastAsia"/>
          <w:sz w:val="36"/>
          <w:szCs w:val="36"/>
        </w:rPr>
        <w:t>日期：     年   月   日</w:t>
      </w:r>
    </w:p>
    <w:p w14:paraId="17D68036">
      <w:pPr>
        <w:pStyle w:val="19"/>
        <w:jc w:val="center"/>
        <w:rPr>
          <w:rFonts w:hint="eastAsia"/>
          <w:bCs/>
          <w:sz w:val="24"/>
          <w:szCs w:val="24"/>
        </w:rPr>
      </w:pPr>
      <w:r>
        <w:rPr>
          <w:sz w:val="36"/>
          <w:szCs w:val="36"/>
        </w:rPr>
        <w:br w:type="page"/>
      </w:r>
      <w:r>
        <w:rPr>
          <w:rFonts w:hint="eastAsia"/>
          <w:b/>
          <w:kern w:val="28"/>
          <w:sz w:val="24"/>
          <w:szCs w:val="24"/>
        </w:rPr>
        <w:t>请供应商按照以下文件要求的格式制作响应文件，并按照以下顺序（但不限于）编制目录及页码，否则可能将影响对响应文件的评价。</w:t>
      </w:r>
    </w:p>
    <w:p w14:paraId="2A180B7C">
      <w:pPr>
        <w:jc w:val="center"/>
        <w:rPr>
          <w:rFonts w:hint="eastAsia"/>
          <w:bCs/>
        </w:rPr>
      </w:pPr>
    </w:p>
    <w:p w14:paraId="610A67D3">
      <w:pPr>
        <w:pStyle w:val="19"/>
        <w:jc w:val="center"/>
        <w:rPr>
          <w:rFonts w:hint="eastAsia" w:cs="宋体"/>
          <w:b/>
          <w:bCs/>
          <w:sz w:val="32"/>
          <w:szCs w:val="32"/>
        </w:rPr>
      </w:pPr>
      <w:r>
        <w:rPr>
          <w:rFonts w:hint="eastAsia" w:cs="宋体"/>
          <w:b/>
          <w:bCs/>
          <w:sz w:val="32"/>
          <w:szCs w:val="32"/>
        </w:rPr>
        <w:t>目  录</w:t>
      </w:r>
    </w:p>
    <w:p w14:paraId="08A3BFA4">
      <w:pPr>
        <w:pStyle w:val="19"/>
        <w:rPr>
          <w:rFonts w:hint="eastAsia" w:cs="宋体"/>
          <w:sz w:val="32"/>
          <w:szCs w:val="32"/>
        </w:rPr>
      </w:pPr>
      <w:r>
        <w:rPr>
          <w:rFonts w:hint="eastAsia" w:cs="宋体"/>
          <w:sz w:val="32"/>
          <w:szCs w:val="32"/>
        </w:rPr>
        <w:t>1、报价一览表</w:t>
      </w:r>
    </w:p>
    <w:p w14:paraId="69FD6338">
      <w:pPr>
        <w:pStyle w:val="19"/>
        <w:ind w:firstLine="502" w:firstLineChars="157"/>
        <w:rPr>
          <w:rFonts w:hint="eastAsia" w:cs="宋体"/>
          <w:sz w:val="32"/>
          <w:szCs w:val="32"/>
        </w:rPr>
      </w:pPr>
      <w:r>
        <w:rPr>
          <w:rFonts w:hint="eastAsia" w:cs="宋体"/>
          <w:sz w:val="32"/>
          <w:szCs w:val="32"/>
        </w:rPr>
        <w:t>1.1、分项报价明细</w:t>
      </w:r>
    </w:p>
    <w:p w14:paraId="0E8A5728">
      <w:pPr>
        <w:pStyle w:val="19"/>
        <w:rPr>
          <w:rFonts w:hint="eastAsia" w:cs="宋体"/>
          <w:sz w:val="32"/>
          <w:szCs w:val="32"/>
        </w:rPr>
      </w:pPr>
      <w:r>
        <w:rPr>
          <w:rFonts w:hint="eastAsia" w:cs="宋体"/>
          <w:sz w:val="32"/>
          <w:szCs w:val="32"/>
        </w:rPr>
        <w:t>2、竞争性磋商响应函</w:t>
      </w:r>
    </w:p>
    <w:p w14:paraId="1F316859">
      <w:pPr>
        <w:pStyle w:val="19"/>
        <w:rPr>
          <w:rFonts w:hint="eastAsia" w:cs="宋体"/>
          <w:sz w:val="32"/>
          <w:szCs w:val="32"/>
        </w:rPr>
      </w:pPr>
      <w:r>
        <w:rPr>
          <w:rFonts w:hint="eastAsia" w:cs="宋体"/>
          <w:sz w:val="32"/>
          <w:szCs w:val="32"/>
        </w:rPr>
        <w:t>3、法定代表人证明书</w:t>
      </w:r>
    </w:p>
    <w:p w14:paraId="741C8D7E">
      <w:pPr>
        <w:pStyle w:val="19"/>
        <w:rPr>
          <w:rFonts w:hint="eastAsia" w:cs="宋体"/>
          <w:sz w:val="32"/>
          <w:szCs w:val="32"/>
        </w:rPr>
      </w:pPr>
      <w:r>
        <w:rPr>
          <w:rFonts w:hint="eastAsia" w:cs="宋体"/>
          <w:sz w:val="32"/>
          <w:szCs w:val="32"/>
        </w:rPr>
        <w:t>4、法人授权委托书</w:t>
      </w:r>
    </w:p>
    <w:p w14:paraId="7E67E73A">
      <w:pPr>
        <w:pStyle w:val="19"/>
        <w:rPr>
          <w:rFonts w:hint="eastAsia" w:cs="宋体"/>
          <w:sz w:val="32"/>
          <w:szCs w:val="32"/>
        </w:rPr>
      </w:pPr>
      <w:r>
        <w:rPr>
          <w:rFonts w:hint="eastAsia" w:cs="宋体"/>
          <w:sz w:val="32"/>
          <w:szCs w:val="32"/>
        </w:rPr>
        <w:t>5、联合投标协议书</w:t>
      </w:r>
    </w:p>
    <w:p w14:paraId="02645DF3">
      <w:pPr>
        <w:pStyle w:val="19"/>
        <w:rPr>
          <w:rFonts w:hint="eastAsia" w:cs="宋体"/>
          <w:sz w:val="32"/>
          <w:szCs w:val="32"/>
        </w:rPr>
      </w:pPr>
      <w:r>
        <w:rPr>
          <w:rFonts w:hint="eastAsia" w:cs="宋体"/>
          <w:sz w:val="32"/>
          <w:szCs w:val="32"/>
        </w:rPr>
        <w:t>6、供应商诚信承诺书</w:t>
      </w:r>
    </w:p>
    <w:p w14:paraId="354986FC">
      <w:pPr>
        <w:pStyle w:val="19"/>
        <w:rPr>
          <w:rFonts w:hint="eastAsia" w:cs="宋体"/>
          <w:sz w:val="32"/>
          <w:szCs w:val="32"/>
        </w:rPr>
      </w:pPr>
      <w:r>
        <w:rPr>
          <w:rFonts w:hint="eastAsia" w:cs="宋体"/>
          <w:sz w:val="32"/>
          <w:szCs w:val="32"/>
        </w:rPr>
        <w:t>7、供应商基本情况</w:t>
      </w:r>
    </w:p>
    <w:p w14:paraId="3950F43D">
      <w:pPr>
        <w:pStyle w:val="19"/>
        <w:rPr>
          <w:rFonts w:hint="eastAsia" w:cs="宋体"/>
          <w:sz w:val="32"/>
          <w:szCs w:val="32"/>
        </w:rPr>
      </w:pPr>
      <w:r>
        <w:rPr>
          <w:rFonts w:hint="eastAsia" w:cs="宋体"/>
          <w:sz w:val="32"/>
          <w:szCs w:val="32"/>
        </w:rPr>
        <w:t>8、响应偏离表</w:t>
      </w:r>
    </w:p>
    <w:p w14:paraId="0D691E50">
      <w:pPr>
        <w:pStyle w:val="19"/>
        <w:rPr>
          <w:rFonts w:hint="eastAsia" w:cs="宋体"/>
          <w:sz w:val="32"/>
          <w:szCs w:val="32"/>
        </w:rPr>
      </w:pPr>
      <w:r>
        <w:rPr>
          <w:rFonts w:hint="eastAsia" w:cs="宋体"/>
          <w:sz w:val="32"/>
          <w:szCs w:val="32"/>
        </w:rPr>
        <w:t>9、资格、资信证明材料和符合性审查证明材料</w:t>
      </w:r>
    </w:p>
    <w:p w14:paraId="1FF05029">
      <w:pPr>
        <w:pStyle w:val="19"/>
        <w:rPr>
          <w:rFonts w:hint="eastAsia" w:cs="宋体"/>
          <w:sz w:val="32"/>
          <w:szCs w:val="32"/>
        </w:rPr>
      </w:pPr>
      <w:r>
        <w:rPr>
          <w:rFonts w:hint="eastAsia" w:cs="宋体"/>
          <w:sz w:val="32"/>
          <w:szCs w:val="32"/>
        </w:rPr>
        <w:t>10、其他材料</w:t>
      </w:r>
    </w:p>
    <w:p w14:paraId="0B7013FD">
      <w:pPr>
        <w:pStyle w:val="3"/>
      </w:pPr>
      <w:r>
        <w:br w:type="page"/>
      </w:r>
      <w:r>
        <w:rPr>
          <w:rFonts w:hint="eastAsia"/>
        </w:rPr>
        <w:t>1、报价一览表</w:t>
      </w:r>
    </w:p>
    <w:p w14:paraId="152208BF">
      <w:pPr>
        <w:rPr>
          <w:rFonts w:hint="eastAsia"/>
        </w:rPr>
      </w:pPr>
    </w:p>
    <w:p w14:paraId="1F9B2D8D">
      <w:pPr>
        <w:rPr>
          <w:rFonts w:hint="eastAsia"/>
        </w:rPr>
      </w:pPr>
      <w:r>
        <w:rPr>
          <w:rFonts w:hint="eastAsia"/>
        </w:rPr>
        <w:t>项目名称：</w:t>
      </w:r>
    </w:p>
    <w:p w14:paraId="57609673">
      <w:pPr>
        <w:rPr>
          <w:rFonts w:hint="eastAsia"/>
        </w:rPr>
      </w:pPr>
      <w:r>
        <w:rPr>
          <w:rFonts w:hint="eastAsia"/>
        </w:rPr>
        <w:t>项目编号：                                          包号：</w:t>
      </w:r>
    </w:p>
    <w:tbl>
      <w:tblPr>
        <w:tblStyle w:val="28"/>
        <w:tblW w:w="9099"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93"/>
        <w:gridCol w:w="7006"/>
      </w:tblGrid>
      <w:tr w14:paraId="68658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67" w:hRule="atLeast"/>
        </w:trPr>
        <w:tc>
          <w:tcPr>
            <w:tcW w:w="2093" w:type="dxa"/>
            <w:vAlign w:val="center"/>
          </w:tcPr>
          <w:p w14:paraId="551C5913">
            <w:pPr>
              <w:rPr>
                <w:rFonts w:hint="eastAsia"/>
              </w:rPr>
            </w:pPr>
            <w:r>
              <w:rPr>
                <w:rFonts w:hint="eastAsia"/>
              </w:rPr>
              <w:t>列名称</w:t>
            </w:r>
          </w:p>
        </w:tc>
        <w:tc>
          <w:tcPr>
            <w:tcW w:w="7006" w:type="dxa"/>
            <w:vAlign w:val="center"/>
          </w:tcPr>
          <w:p w14:paraId="4018C3A6">
            <w:pPr>
              <w:rPr>
                <w:rFonts w:hint="eastAsia"/>
              </w:rPr>
            </w:pPr>
            <w:r>
              <w:rPr>
                <w:rFonts w:hint="eastAsia"/>
              </w:rPr>
              <w:t>列内容</w:t>
            </w:r>
          </w:p>
        </w:tc>
      </w:tr>
      <w:tr w14:paraId="3D8E13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Align w:val="center"/>
          </w:tcPr>
          <w:p w14:paraId="0CC99A59">
            <w:pPr>
              <w:rPr>
                <w:rFonts w:hint="eastAsia"/>
              </w:rPr>
            </w:pPr>
            <w:r>
              <w:rPr>
                <w:rFonts w:hint="eastAsia"/>
              </w:rPr>
              <w:t>供应商名称</w:t>
            </w:r>
          </w:p>
        </w:tc>
        <w:tc>
          <w:tcPr>
            <w:tcW w:w="7006" w:type="dxa"/>
            <w:vAlign w:val="center"/>
          </w:tcPr>
          <w:p w14:paraId="4EACFCF9">
            <w:pPr>
              <w:rPr>
                <w:rFonts w:hint="eastAsia"/>
              </w:rPr>
            </w:pPr>
          </w:p>
        </w:tc>
      </w:tr>
      <w:tr w14:paraId="3A5D7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Align w:val="center"/>
          </w:tcPr>
          <w:p w14:paraId="42172687">
            <w:pPr>
              <w:rPr>
                <w:rFonts w:hint="eastAsia"/>
              </w:rPr>
            </w:pPr>
            <w:r>
              <w:rPr>
                <w:rFonts w:hint="eastAsia"/>
              </w:rPr>
              <w:t>响应报价（小写）</w:t>
            </w:r>
          </w:p>
        </w:tc>
        <w:tc>
          <w:tcPr>
            <w:tcW w:w="7006" w:type="dxa"/>
            <w:vAlign w:val="center"/>
          </w:tcPr>
          <w:p w14:paraId="1216F37F">
            <w:pPr>
              <w:rPr>
                <w:rFonts w:hint="eastAsia"/>
              </w:rPr>
            </w:pPr>
          </w:p>
        </w:tc>
      </w:tr>
      <w:tr w14:paraId="2D819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Align w:val="center"/>
          </w:tcPr>
          <w:p w14:paraId="406FEC7D">
            <w:pPr>
              <w:rPr>
                <w:rFonts w:hint="eastAsia"/>
              </w:rPr>
            </w:pPr>
            <w:r>
              <w:rPr>
                <w:rFonts w:hint="eastAsia"/>
              </w:rPr>
              <w:t>响应报价（大写）</w:t>
            </w:r>
          </w:p>
        </w:tc>
        <w:tc>
          <w:tcPr>
            <w:tcW w:w="7006" w:type="dxa"/>
            <w:vAlign w:val="center"/>
          </w:tcPr>
          <w:p w14:paraId="39BDD822">
            <w:pPr>
              <w:rPr>
                <w:rFonts w:hint="eastAsia"/>
              </w:rPr>
            </w:pPr>
          </w:p>
        </w:tc>
      </w:tr>
      <w:tr w14:paraId="03000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Align w:val="center"/>
          </w:tcPr>
          <w:p w14:paraId="2C5EE288">
            <w:pPr>
              <w:rPr>
                <w:rFonts w:hint="eastAsia"/>
              </w:rPr>
            </w:pPr>
            <w:r>
              <w:rPr>
                <w:rFonts w:hint="eastAsia"/>
              </w:rPr>
              <w:t>合同履行期限</w:t>
            </w:r>
          </w:p>
        </w:tc>
        <w:tc>
          <w:tcPr>
            <w:tcW w:w="7006" w:type="dxa"/>
            <w:vAlign w:val="center"/>
          </w:tcPr>
          <w:p w14:paraId="69C60A1D">
            <w:pPr>
              <w:rPr>
                <w:rFonts w:hint="eastAsia"/>
              </w:rPr>
            </w:pPr>
          </w:p>
        </w:tc>
      </w:tr>
      <w:tr w14:paraId="468E83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Merge w:val="restart"/>
            <w:vAlign w:val="center"/>
          </w:tcPr>
          <w:p w14:paraId="06162529">
            <w:pPr>
              <w:rPr>
                <w:rFonts w:hint="eastAsia"/>
              </w:rPr>
            </w:pPr>
            <w:r>
              <w:rPr>
                <w:rFonts w:hint="eastAsia"/>
              </w:rPr>
              <w:t>供应商企业类型</w:t>
            </w:r>
          </w:p>
        </w:tc>
        <w:tc>
          <w:tcPr>
            <w:tcW w:w="7006" w:type="dxa"/>
            <w:vAlign w:val="center"/>
          </w:tcPr>
          <w:p w14:paraId="25B339DF">
            <w:pPr>
              <w:rPr>
                <w:rFonts w:hint="eastAsia"/>
              </w:rPr>
            </w:pPr>
            <w:r>
              <w:rPr>
                <w:rFonts w:hint="eastAsia"/>
              </w:rPr>
              <w:t>是否为符合条件的小、微型企业</w:t>
            </w:r>
            <w:r>
              <w:t>:是（ ）；否（ ）</w:t>
            </w:r>
          </w:p>
        </w:tc>
      </w:tr>
      <w:tr w14:paraId="4231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Merge w:val="continue"/>
            <w:vAlign w:val="center"/>
          </w:tcPr>
          <w:p w14:paraId="21E9909B">
            <w:pPr>
              <w:rPr>
                <w:rFonts w:hint="eastAsia"/>
              </w:rPr>
            </w:pPr>
          </w:p>
        </w:tc>
        <w:tc>
          <w:tcPr>
            <w:tcW w:w="7006" w:type="dxa"/>
            <w:vAlign w:val="center"/>
          </w:tcPr>
          <w:p w14:paraId="081C2AD3">
            <w:pPr>
              <w:rPr>
                <w:rFonts w:hint="eastAsia"/>
              </w:rPr>
            </w:pPr>
            <w:r>
              <w:rPr>
                <w:rFonts w:hint="eastAsia"/>
              </w:rPr>
              <w:t>是否符合为联合协议或者分包意向协议约定小微企业的合同份额占到合同总金额</w:t>
            </w:r>
            <w:r>
              <w:t>30%以上:是（ ）；否（ ）</w:t>
            </w:r>
          </w:p>
        </w:tc>
      </w:tr>
      <w:tr w14:paraId="31AC7B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Merge w:val="continue"/>
            <w:vAlign w:val="center"/>
          </w:tcPr>
          <w:p w14:paraId="7063A3AF">
            <w:pPr>
              <w:rPr>
                <w:rFonts w:hint="eastAsia"/>
              </w:rPr>
            </w:pPr>
          </w:p>
        </w:tc>
        <w:tc>
          <w:tcPr>
            <w:tcW w:w="7006" w:type="dxa"/>
            <w:vAlign w:val="center"/>
          </w:tcPr>
          <w:p w14:paraId="01C3BAFC">
            <w:pPr>
              <w:rPr>
                <w:rFonts w:hint="eastAsia"/>
              </w:rPr>
            </w:pPr>
            <w:r>
              <w:rPr>
                <w:rFonts w:hint="eastAsia"/>
              </w:rPr>
              <w:t>是否监狱企业参加采购活动：是（</w:t>
            </w:r>
            <w:r>
              <w:t xml:space="preserve"> ）；否（ ）</w:t>
            </w:r>
          </w:p>
        </w:tc>
      </w:tr>
      <w:tr w14:paraId="4A9A02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2093" w:type="dxa"/>
            <w:vMerge w:val="continue"/>
            <w:vAlign w:val="center"/>
          </w:tcPr>
          <w:p w14:paraId="6F888D32">
            <w:pPr>
              <w:rPr>
                <w:rFonts w:hint="eastAsia"/>
              </w:rPr>
            </w:pPr>
          </w:p>
        </w:tc>
        <w:tc>
          <w:tcPr>
            <w:tcW w:w="7006" w:type="dxa"/>
            <w:vAlign w:val="center"/>
          </w:tcPr>
          <w:p w14:paraId="47F23806">
            <w:pPr>
              <w:rPr>
                <w:rFonts w:hint="eastAsia"/>
              </w:rPr>
            </w:pPr>
            <w:r>
              <w:rPr>
                <w:rFonts w:hint="eastAsia"/>
              </w:rPr>
              <w:t>是否为符合条件的残疾人福利性单位：是（</w:t>
            </w:r>
            <w:r>
              <w:t xml:space="preserve"> ）；否（ ）</w:t>
            </w:r>
          </w:p>
        </w:tc>
      </w:tr>
      <w:tr w14:paraId="70932F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9099" w:type="dxa"/>
            <w:gridSpan w:val="2"/>
            <w:vAlign w:val="center"/>
          </w:tcPr>
          <w:p w14:paraId="39FF08F1">
            <w:pPr>
              <w:rPr>
                <w:rFonts w:hint="eastAsia"/>
              </w:rPr>
            </w:pPr>
            <w:r>
              <w:rPr>
                <w:rFonts w:hint="eastAsia"/>
              </w:rPr>
              <w:t>备注：</w:t>
            </w:r>
          </w:p>
        </w:tc>
      </w:tr>
    </w:tbl>
    <w:p w14:paraId="5AA7C3A1">
      <w:pPr>
        <w:rPr>
          <w:rFonts w:hint="eastAsia"/>
        </w:rPr>
      </w:pPr>
      <w:r>
        <w:rPr>
          <w:rFonts w:hint="eastAsia"/>
        </w:rPr>
        <w:t>交货（或服务）地点：</w:t>
      </w:r>
    </w:p>
    <w:p w14:paraId="28E9EC69">
      <w:pPr>
        <w:pStyle w:val="19"/>
        <w:tabs>
          <w:tab w:val="clear" w:pos="4153"/>
          <w:tab w:val="clear" w:pos="8306"/>
        </w:tabs>
        <w:rPr>
          <w:rFonts w:hint="eastAsia"/>
          <w:lang w:val="en-GB"/>
        </w:rPr>
      </w:pPr>
    </w:p>
    <w:p w14:paraId="0D27F449">
      <w:pPr>
        <w:adjustRightInd w:val="0"/>
        <w:snapToGrid w:val="0"/>
        <w:rPr>
          <w:rFonts w:hint="eastAsia"/>
          <w:bCs/>
        </w:rPr>
      </w:pPr>
      <w:r>
        <w:rPr>
          <w:rFonts w:hint="eastAsia"/>
        </w:rPr>
        <w:t xml:space="preserve">供应商： </w:t>
      </w:r>
      <w:r>
        <w:rPr>
          <w:rFonts w:hint="eastAsia"/>
          <w:bCs/>
        </w:rPr>
        <w:t>________________</w:t>
      </w:r>
      <w:r>
        <w:rPr>
          <w:rFonts w:hint="eastAsia"/>
          <w:bCs/>
          <w:u w:val="single"/>
        </w:rPr>
        <w:t>__（公章）_</w:t>
      </w:r>
      <w:r>
        <w:rPr>
          <w:rFonts w:hint="eastAsia"/>
          <w:bCs/>
        </w:rPr>
        <w:t>______</w:t>
      </w:r>
    </w:p>
    <w:p w14:paraId="27A84893">
      <w:pPr>
        <w:pStyle w:val="19"/>
        <w:rPr>
          <w:rFonts w:hint="eastAsia"/>
        </w:rPr>
      </w:pPr>
    </w:p>
    <w:p w14:paraId="0E9CB054">
      <w:pPr>
        <w:adjustRightInd w:val="0"/>
        <w:snapToGrid w:val="0"/>
        <w:rPr>
          <w:rFonts w:hint="eastAsia"/>
          <w:bCs/>
        </w:rPr>
      </w:pPr>
      <w:r>
        <w:rPr>
          <w:rFonts w:hint="eastAsia"/>
        </w:rPr>
        <w:t>法定代表人（或委托代理人）：</w:t>
      </w:r>
      <w:r>
        <w:rPr>
          <w:rFonts w:hint="eastAsia"/>
          <w:bCs/>
        </w:rPr>
        <w:t>________</w:t>
      </w:r>
      <w:r>
        <w:rPr>
          <w:rFonts w:hint="eastAsia"/>
          <w:bCs/>
          <w:u w:val="single"/>
        </w:rPr>
        <w:t>_（签字或盖章）__</w:t>
      </w:r>
      <w:r>
        <w:rPr>
          <w:rFonts w:hint="eastAsia"/>
          <w:bCs/>
        </w:rPr>
        <w:t>_____</w:t>
      </w:r>
    </w:p>
    <w:p w14:paraId="75B63852">
      <w:pPr>
        <w:pStyle w:val="19"/>
        <w:rPr>
          <w:rFonts w:hint="eastAsia"/>
        </w:rPr>
      </w:pPr>
    </w:p>
    <w:p w14:paraId="168C16D6">
      <w:pPr>
        <w:adjustRightInd w:val="0"/>
        <w:snapToGrid w:val="0"/>
        <w:rPr>
          <w:rFonts w:hint="eastAsia"/>
        </w:rPr>
      </w:pPr>
      <w:r>
        <w:rPr>
          <w:rFonts w:hint="eastAsia"/>
        </w:rPr>
        <w:t>日期：_______________________</w:t>
      </w:r>
    </w:p>
    <w:p w14:paraId="6C23323B">
      <w:pPr>
        <w:pStyle w:val="19"/>
        <w:rPr>
          <w:rFonts w:hint="eastAsia"/>
        </w:rPr>
      </w:pPr>
    </w:p>
    <w:p w14:paraId="1C6597AE">
      <w:pPr>
        <w:adjustRightInd w:val="0"/>
        <w:snapToGrid w:val="0"/>
        <w:ind w:firstLine="424" w:firstLineChars="177"/>
        <w:rPr>
          <w:rFonts w:hint="eastAsia"/>
        </w:rPr>
      </w:pPr>
      <w:r>
        <w:rPr>
          <w:rFonts w:hint="eastAsia"/>
        </w:rPr>
        <w:t>注：①本表中响应报价为供应商所有标的的报价总计，响应报价应包括磋商文件所规定的采购范围的全部内容；响应报价总金额包括本磋商文件中要求的所有货物和服务的费用，包含运输、保险、税收等相关费用，采购人不再进行二次投入，请供应商注意。</w:t>
      </w:r>
    </w:p>
    <w:p w14:paraId="3CAE46FE">
      <w:pPr>
        <w:widowControl/>
        <w:spacing w:line="240" w:lineRule="auto"/>
        <w:rPr>
          <w:rFonts w:hint="eastAsia"/>
          <w:b/>
          <w:bCs/>
          <w:kern w:val="0"/>
          <w:szCs w:val="32"/>
        </w:rPr>
      </w:pPr>
      <w:bookmarkStart w:id="109" w:name="_Toc429752447"/>
      <w:bookmarkStart w:id="110" w:name="_Toc429752367"/>
      <w:bookmarkStart w:id="111" w:name="_Toc429752287"/>
      <w:bookmarkStart w:id="112" w:name="_Toc429751820"/>
      <w:r>
        <w:br w:type="page"/>
      </w:r>
    </w:p>
    <w:p w14:paraId="5FA251BC">
      <w:pPr>
        <w:pStyle w:val="4"/>
        <w:ind w:left="0" w:leftChars="0"/>
        <w:jc w:val="both"/>
        <w:rPr>
          <w:rFonts w:hint="eastAsia"/>
        </w:rPr>
      </w:pPr>
      <w:r>
        <w:rPr>
          <w:rFonts w:hint="eastAsia"/>
        </w:rPr>
        <w:t>1.1、分项报价明细</w:t>
      </w:r>
    </w:p>
    <w:p w14:paraId="2FAFECF4">
      <w:pPr>
        <w:rPr>
          <w:rFonts w:hint="eastAsia"/>
        </w:rPr>
      </w:pPr>
      <w:r>
        <w:rPr>
          <w:rFonts w:hint="eastAsia"/>
        </w:rPr>
        <w:t>项目名称：</w:t>
      </w:r>
    </w:p>
    <w:p w14:paraId="280FFAA5">
      <w:pPr>
        <w:rPr>
          <w:rFonts w:hint="eastAsia"/>
        </w:rPr>
      </w:pPr>
      <w:r>
        <w:rPr>
          <w:rFonts w:hint="eastAsia"/>
        </w:rPr>
        <w:t>项目编号：</w:t>
      </w:r>
    </w:p>
    <w:tbl>
      <w:tblPr>
        <w:tblStyle w:val="28"/>
        <w:tblW w:w="9029" w:type="dxa"/>
        <w:tblInd w:w="93" w:type="dxa"/>
        <w:tblLayout w:type="autofit"/>
        <w:tblCellMar>
          <w:top w:w="0" w:type="dxa"/>
          <w:left w:w="108" w:type="dxa"/>
          <w:bottom w:w="0" w:type="dxa"/>
          <w:right w:w="108" w:type="dxa"/>
        </w:tblCellMar>
      </w:tblPr>
      <w:tblGrid>
        <w:gridCol w:w="697"/>
        <w:gridCol w:w="2012"/>
        <w:gridCol w:w="1518"/>
        <w:gridCol w:w="679"/>
        <w:gridCol w:w="683"/>
        <w:gridCol w:w="1185"/>
        <w:gridCol w:w="1688"/>
        <w:gridCol w:w="567"/>
      </w:tblGrid>
      <w:tr w14:paraId="57637FB3">
        <w:tblPrEx>
          <w:tblCellMar>
            <w:top w:w="0" w:type="dxa"/>
            <w:left w:w="108" w:type="dxa"/>
            <w:bottom w:w="0" w:type="dxa"/>
            <w:right w:w="108" w:type="dxa"/>
          </w:tblCellMar>
        </w:tblPrEx>
        <w:trPr>
          <w:trHeight w:val="600" w:hRule="atLeast"/>
          <w:tblHeader/>
        </w:trPr>
        <w:tc>
          <w:tcPr>
            <w:tcW w:w="697" w:type="dxa"/>
            <w:tcBorders>
              <w:top w:val="single" w:color="auto" w:sz="4" w:space="0"/>
              <w:left w:val="single" w:color="auto" w:sz="4" w:space="0"/>
              <w:bottom w:val="single" w:color="auto" w:sz="4" w:space="0"/>
              <w:right w:val="single" w:color="auto" w:sz="4" w:space="0"/>
            </w:tcBorders>
            <w:noWrap/>
            <w:vAlign w:val="center"/>
          </w:tcPr>
          <w:p w14:paraId="7430E71D">
            <w:pPr>
              <w:widowControl/>
              <w:jc w:val="center"/>
              <w:rPr>
                <w:rFonts w:hint="eastAsia" w:cs="宋体"/>
                <w:kern w:val="0"/>
              </w:rPr>
            </w:pPr>
            <w:r>
              <w:rPr>
                <w:rFonts w:hint="eastAsia" w:cs="宋体"/>
                <w:kern w:val="0"/>
              </w:rPr>
              <w:t>序号</w:t>
            </w:r>
          </w:p>
        </w:tc>
        <w:tc>
          <w:tcPr>
            <w:tcW w:w="2012" w:type="dxa"/>
            <w:tcBorders>
              <w:top w:val="single" w:color="auto" w:sz="4" w:space="0"/>
              <w:left w:val="nil"/>
              <w:bottom w:val="single" w:color="auto" w:sz="4" w:space="0"/>
              <w:right w:val="single" w:color="auto" w:sz="4" w:space="0"/>
            </w:tcBorders>
            <w:noWrap/>
            <w:vAlign w:val="center"/>
          </w:tcPr>
          <w:p w14:paraId="633DC25D">
            <w:pPr>
              <w:widowControl/>
              <w:jc w:val="center"/>
              <w:rPr>
                <w:rFonts w:hint="eastAsia" w:cs="宋体"/>
                <w:kern w:val="0"/>
              </w:rPr>
            </w:pPr>
            <w:r>
              <w:rPr>
                <w:rFonts w:hint="eastAsia" w:cs="宋体"/>
                <w:kern w:val="0"/>
              </w:rPr>
              <w:t>采购品目名称</w:t>
            </w:r>
          </w:p>
        </w:tc>
        <w:tc>
          <w:tcPr>
            <w:tcW w:w="1518" w:type="dxa"/>
            <w:tcBorders>
              <w:top w:val="single" w:color="auto" w:sz="4" w:space="0"/>
              <w:left w:val="nil"/>
              <w:bottom w:val="single" w:color="auto" w:sz="4" w:space="0"/>
              <w:right w:val="single" w:color="auto" w:sz="4" w:space="0"/>
            </w:tcBorders>
            <w:vAlign w:val="center"/>
          </w:tcPr>
          <w:p w14:paraId="73D5C268">
            <w:pPr>
              <w:widowControl/>
              <w:jc w:val="center"/>
              <w:rPr>
                <w:rFonts w:hint="eastAsia" w:cs="宋体"/>
                <w:kern w:val="0"/>
              </w:rPr>
            </w:pPr>
            <w:r>
              <w:rPr>
                <w:rFonts w:hint="eastAsia" w:cs="宋体"/>
                <w:kern w:val="0"/>
              </w:rPr>
              <w:t>生产厂商、品牌</w:t>
            </w:r>
          </w:p>
        </w:tc>
        <w:tc>
          <w:tcPr>
            <w:tcW w:w="679" w:type="dxa"/>
            <w:tcBorders>
              <w:top w:val="single" w:color="auto" w:sz="4" w:space="0"/>
              <w:left w:val="nil"/>
              <w:bottom w:val="single" w:color="auto" w:sz="4" w:space="0"/>
              <w:right w:val="single" w:color="auto" w:sz="4" w:space="0"/>
            </w:tcBorders>
            <w:vAlign w:val="center"/>
          </w:tcPr>
          <w:p w14:paraId="391208D1">
            <w:pPr>
              <w:widowControl/>
              <w:jc w:val="center"/>
              <w:rPr>
                <w:rFonts w:hint="eastAsia" w:cs="宋体"/>
                <w:kern w:val="0"/>
              </w:rPr>
            </w:pPr>
            <w:r>
              <w:rPr>
                <w:rFonts w:hint="eastAsia" w:cs="宋体"/>
                <w:kern w:val="0"/>
              </w:rPr>
              <w:t>数量</w:t>
            </w:r>
          </w:p>
        </w:tc>
        <w:tc>
          <w:tcPr>
            <w:tcW w:w="683" w:type="dxa"/>
            <w:tcBorders>
              <w:top w:val="single" w:color="auto" w:sz="4" w:space="0"/>
              <w:left w:val="single" w:color="auto" w:sz="4" w:space="0"/>
              <w:bottom w:val="single" w:color="auto" w:sz="4" w:space="0"/>
              <w:right w:val="single" w:color="auto" w:sz="4" w:space="0"/>
            </w:tcBorders>
            <w:noWrap/>
            <w:vAlign w:val="center"/>
          </w:tcPr>
          <w:p w14:paraId="484130A5">
            <w:pPr>
              <w:widowControl/>
              <w:jc w:val="center"/>
              <w:rPr>
                <w:rFonts w:hint="eastAsia" w:cs="宋体"/>
                <w:kern w:val="0"/>
              </w:rPr>
            </w:pPr>
            <w:r>
              <w:rPr>
                <w:rFonts w:hint="eastAsia" w:cs="宋体"/>
                <w:kern w:val="0"/>
              </w:rPr>
              <w:t>单位</w:t>
            </w:r>
          </w:p>
        </w:tc>
        <w:tc>
          <w:tcPr>
            <w:tcW w:w="1185" w:type="dxa"/>
            <w:tcBorders>
              <w:top w:val="single" w:color="auto" w:sz="4" w:space="0"/>
              <w:left w:val="single" w:color="auto" w:sz="4" w:space="0"/>
              <w:bottom w:val="single" w:color="auto" w:sz="4" w:space="0"/>
              <w:right w:val="single" w:color="auto" w:sz="4" w:space="0"/>
            </w:tcBorders>
            <w:vAlign w:val="center"/>
          </w:tcPr>
          <w:p w14:paraId="4E403F05">
            <w:pPr>
              <w:widowControl/>
              <w:jc w:val="center"/>
              <w:rPr>
                <w:rFonts w:hint="eastAsia" w:cs="宋体"/>
                <w:kern w:val="0"/>
              </w:rPr>
            </w:pPr>
            <w:r>
              <w:rPr>
                <w:rFonts w:hint="eastAsia" w:cs="宋体"/>
                <w:kern w:val="0"/>
              </w:rPr>
              <w:t>单价（元）</w:t>
            </w:r>
          </w:p>
        </w:tc>
        <w:tc>
          <w:tcPr>
            <w:tcW w:w="1688" w:type="dxa"/>
            <w:tcBorders>
              <w:top w:val="single" w:color="auto" w:sz="4" w:space="0"/>
              <w:left w:val="single" w:color="auto" w:sz="4" w:space="0"/>
              <w:bottom w:val="single" w:color="auto" w:sz="4" w:space="0"/>
              <w:right w:val="single" w:color="auto" w:sz="4" w:space="0"/>
            </w:tcBorders>
            <w:vAlign w:val="center"/>
          </w:tcPr>
          <w:p w14:paraId="7F1AAA81">
            <w:pPr>
              <w:widowControl/>
              <w:jc w:val="center"/>
              <w:rPr>
                <w:rFonts w:hint="eastAsia" w:cs="宋体"/>
                <w:kern w:val="0"/>
              </w:rPr>
            </w:pPr>
            <w:r>
              <w:rPr>
                <w:rFonts w:hint="eastAsia" w:cs="宋体"/>
                <w:kern w:val="0"/>
              </w:rPr>
              <w:t>单项总价（元）</w:t>
            </w:r>
          </w:p>
        </w:tc>
        <w:tc>
          <w:tcPr>
            <w:tcW w:w="567" w:type="dxa"/>
            <w:tcBorders>
              <w:top w:val="single" w:color="auto" w:sz="4" w:space="0"/>
              <w:left w:val="single" w:color="auto" w:sz="4" w:space="0"/>
              <w:bottom w:val="single" w:color="auto" w:sz="4" w:space="0"/>
              <w:right w:val="single" w:color="auto" w:sz="4" w:space="0"/>
            </w:tcBorders>
            <w:noWrap/>
            <w:vAlign w:val="center"/>
          </w:tcPr>
          <w:p w14:paraId="30C85701">
            <w:pPr>
              <w:widowControl/>
              <w:jc w:val="center"/>
              <w:rPr>
                <w:rFonts w:hint="eastAsia" w:cs="宋体"/>
                <w:kern w:val="0"/>
              </w:rPr>
            </w:pPr>
            <w:r>
              <w:rPr>
                <w:rFonts w:hint="eastAsia" w:cs="宋体"/>
                <w:kern w:val="0"/>
              </w:rPr>
              <w:t>备注</w:t>
            </w:r>
          </w:p>
        </w:tc>
      </w:tr>
      <w:tr w14:paraId="6A594A1B">
        <w:tblPrEx>
          <w:tblCellMar>
            <w:top w:w="0" w:type="dxa"/>
            <w:left w:w="108" w:type="dxa"/>
            <w:bottom w:w="0" w:type="dxa"/>
            <w:right w:w="108" w:type="dxa"/>
          </w:tblCellMar>
        </w:tblPrEx>
        <w:trPr>
          <w:trHeight w:val="600" w:hRule="atLeast"/>
        </w:trPr>
        <w:tc>
          <w:tcPr>
            <w:tcW w:w="697" w:type="dxa"/>
            <w:tcBorders>
              <w:top w:val="nil"/>
              <w:left w:val="single" w:color="auto" w:sz="4" w:space="0"/>
              <w:bottom w:val="single" w:color="auto" w:sz="4" w:space="0"/>
              <w:right w:val="single" w:color="auto" w:sz="4" w:space="0"/>
            </w:tcBorders>
            <w:noWrap/>
            <w:vAlign w:val="center"/>
          </w:tcPr>
          <w:p w14:paraId="7B2341B8">
            <w:pPr>
              <w:widowControl/>
              <w:jc w:val="center"/>
              <w:rPr>
                <w:rFonts w:hint="eastAsia" w:cs="宋体"/>
                <w:kern w:val="0"/>
              </w:rPr>
            </w:pPr>
            <w:r>
              <w:rPr>
                <w:rFonts w:hint="eastAsia" w:cs="宋体"/>
                <w:kern w:val="0"/>
              </w:rPr>
              <w:t>1</w:t>
            </w:r>
          </w:p>
        </w:tc>
        <w:tc>
          <w:tcPr>
            <w:tcW w:w="2012" w:type="dxa"/>
            <w:tcBorders>
              <w:top w:val="nil"/>
              <w:left w:val="nil"/>
              <w:bottom w:val="single" w:color="auto" w:sz="4" w:space="0"/>
              <w:right w:val="single" w:color="auto" w:sz="4" w:space="0"/>
            </w:tcBorders>
            <w:noWrap/>
            <w:vAlign w:val="center"/>
          </w:tcPr>
          <w:p w14:paraId="7C8BD521">
            <w:pPr>
              <w:widowControl/>
              <w:jc w:val="center"/>
              <w:rPr>
                <w:rFonts w:hint="eastAsia" w:cs="宋体"/>
                <w:kern w:val="0"/>
              </w:rPr>
            </w:pPr>
          </w:p>
        </w:tc>
        <w:tc>
          <w:tcPr>
            <w:tcW w:w="1518" w:type="dxa"/>
            <w:tcBorders>
              <w:top w:val="single" w:color="auto" w:sz="4" w:space="0"/>
              <w:left w:val="nil"/>
              <w:bottom w:val="single" w:color="auto" w:sz="4" w:space="0"/>
              <w:right w:val="single" w:color="auto" w:sz="4" w:space="0"/>
            </w:tcBorders>
            <w:vAlign w:val="center"/>
          </w:tcPr>
          <w:p w14:paraId="7A5357C5">
            <w:pPr>
              <w:widowControl/>
              <w:jc w:val="center"/>
              <w:rPr>
                <w:rFonts w:hint="eastAsia" w:cs="宋体"/>
                <w:kern w:val="0"/>
              </w:rPr>
            </w:pPr>
          </w:p>
        </w:tc>
        <w:tc>
          <w:tcPr>
            <w:tcW w:w="679" w:type="dxa"/>
            <w:tcBorders>
              <w:top w:val="single" w:color="auto" w:sz="4" w:space="0"/>
              <w:left w:val="nil"/>
              <w:bottom w:val="single" w:color="auto" w:sz="4" w:space="0"/>
              <w:right w:val="single" w:color="auto" w:sz="4" w:space="0"/>
            </w:tcBorders>
            <w:vAlign w:val="center"/>
          </w:tcPr>
          <w:p w14:paraId="1D5474D8">
            <w:pPr>
              <w:widowControl/>
              <w:jc w:val="center"/>
              <w:rPr>
                <w:rFonts w:hint="eastAsia" w:cs="宋体"/>
                <w:kern w:val="0"/>
              </w:rPr>
            </w:pPr>
          </w:p>
        </w:tc>
        <w:tc>
          <w:tcPr>
            <w:tcW w:w="683" w:type="dxa"/>
            <w:tcBorders>
              <w:top w:val="single" w:color="auto" w:sz="4" w:space="0"/>
              <w:left w:val="single" w:color="auto" w:sz="4" w:space="0"/>
              <w:bottom w:val="single" w:color="auto" w:sz="4" w:space="0"/>
              <w:right w:val="single" w:color="auto" w:sz="4" w:space="0"/>
            </w:tcBorders>
            <w:noWrap/>
            <w:vAlign w:val="center"/>
          </w:tcPr>
          <w:p w14:paraId="04FEC586">
            <w:pPr>
              <w:widowControl/>
              <w:jc w:val="center"/>
              <w:rPr>
                <w:rFonts w:hint="eastAsia" w:cs="宋体"/>
                <w:kern w:val="0"/>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0343AA6A">
            <w:pPr>
              <w:widowControl/>
              <w:jc w:val="center"/>
              <w:rPr>
                <w:rFonts w:hint="eastAsia" w:cs="宋体"/>
                <w:kern w:val="0"/>
              </w:rPr>
            </w:pPr>
          </w:p>
        </w:tc>
        <w:tc>
          <w:tcPr>
            <w:tcW w:w="1688" w:type="dxa"/>
            <w:tcBorders>
              <w:top w:val="single" w:color="auto" w:sz="4" w:space="0"/>
              <w:left w:val="single" w:color="auto" w:sz="4" w:space="0"/>
              <w:bottom w:val="single" w:color="auto" w:sz="4" w:space="0"/>
              <w:right w:val="single" w:color="auto" w:sz="4" w:space="0"/>
            </w:tcBorders>
            <w:vAlign w:val="center"/>
          </w:tcPr>
          <w:p w14:paraId="05DF0802">
            <w:pPr>
              <w:widowControl/>
              <w:jc w:val="center"/>
              <w:rPr>
                <w:rFonts w:hint="eastAsia" w:cs="宋体"/>
                <w:kern w:val="0"/>
              </w:rPr>
            </w:pPr>
          </w:p>
        </w:tc>
        <w:tc>
          <w:tcPr>
            <w:tcW w:w="567" w:type="dxa"/>
            <w:tcBorders>
              <w:top w:val="nil"/>
              <w:left w:val="single" w:color="auto" w:sz="4" w:space="0"/>
              <w:bottom w:val="single" w:color="auto" w:sz="4" w:space="0"/>
              <w:right w:val="single" w:color="auto" w:sz="4" w:space="0"/>
            </w:tcBorders>
            <w:noWrap/>
            <w:vAlign w:val="center"/>
          </w:tcPr>
          <w:p w14:paraId="7C315803">
            <w:pPr>
              <w:widowControl/>
              <w:jc w:val="center"/>
              <w:rPr>
                <w:rFonts w:hint="eastAsia" w:cs="宋体"/>
                <w:kern w:val="0"/>
              </w:rPr>
            </w:pPr>
            <w:r>
              <w:rPr>
                <w:rFonts w:hint="eastAsia" w:cs="宋体"/>
                <w:kern w:val="0"/>
              </w:rPr>
              <w:t>　</w:t>
            </w:r>
          </w:p>
        </w:tc>
      </w:tr>
      <w:tr w14:paraId="015B5C5C">
        <w:tblPrEx>
          <w:tblCellMar>
            <w:top w:w="0" w:type="dxa"/>
            <w:left w:w="108" w:type="dxa"/>
            <w:bottom w:w="0" w:type="dxa"/>
            <w:right w:w="108" w:type="dxa"/>
          </w:tblCellMar>
        </w:tblPrEx>
        <w:trPr>
          <w:trHeight w:val="600" w:hRule="atLeast"/>
        </w:trPr>
        <w:tc>
          <w:tcPr>
            <w:tcW w:w="697" w:type="dxa"/>
            <w:tcBorders>
              <w:top w:val="nil"/>
              <w:left w:val="single" w:color="auto" w:sz="4" w:space="0"/>
              <w:bottom w:val="single" w:color="auto" w:sz="4" w:space="0"/>
              <w:right w:val="single" w:color="auto" w:sz="4" w:space="0"/>
            </w:tcBorders>
            <w:noWrap/>
            <w:vAlign w:val="center"/>
          </w:tcPr>
          <w:p w14:paraId="3898F803">
            <w:pPr>
              <w:widowControl/>
              <w:jc w:val="center"/>
              <w:rPr>
                <w:rFonts w:hint="eastAsia" w:cs="宋体"/>
                <w:kern w:val="0"/>
              </w:rPr>
            </w:pPr>
            <w:r>
              <w:rPr>
                <w:rFonts w:hint="eastAsia" w:cs="宋体"/>
                <w:kern w:val="0"/>
              </w:rPr>
              <w:t>2</w:t>
            </w:r>
          </w:p>
        </w:tc>
        <w:tc>
          <w:tcPr>
            <w:tcW w:w="2012" w:type="dxa"/>
            <w:tcBorders>
              <w:top w:val="nil"/>
              <w:left w:val="nil"/>
              <w:bottom w:val="single" w:color="auto" w:sz="4" w:space="0"/>
              <w:right w:val="single" w:color="auto" w:sz="4" w:space="0"/>
            </w:tcBorders>
            <w:noWrap/>
            <w:vAlign w:val="center"/>
          </w:tcPr>
          <w:p w14:paraId="1F7C1EEC">
            <w:pPr>
              <w:widowControl/>
              <w:jc w:val="center"/>
              <w:rPr>
                <w:rFonts w:hint="eastAsia" w:cs="宋体"/>
                <w:kern w:val="0"/>
              </w:rPr>
            </w:pPr>
          </w:p>
        </w:tc>
        <w:tc>
          <w:tcPr>
            <w:tcW w:w="1518" w:type="dxa"/>
            <w:tcBorders>
              <w:top w:val="single" w:color="auto" w:sz="4" w:space="0"/>
              <w:left w:val="nil"/>
              <w:bottom w:val="single" w:color="auto" w:sz="4" w:space="0"/>
              <w:right w:val="single" w:color="auto" w:sz="4" w:space="0"/>
            </w:tcBorders>
            <w:vAlign w:val="center"/>
          </w:tcPr>
          <w:p w14:paraId="0D63932E">
            <w:pPr>
              <w:widowControl/>
              <w:jc w:val="center"/>
              <w:rPr>
                <w:rFonts w:hint="eastAsia" w:cs="宋体"/>
                <w:kern w:val="0"/>
              </w:rPr>
            </w:pPr>
          </w:p>
        </w:tc>
        <w:tc>
          <w:tcPr>
            <w:tcW w:w="679" w:type="dxa"/>
            <w:tcBorders>
              <w:top w:val="single" w:color="auto" w:sz="4" w:space="0"/>
              <w:left w:val="nil"/>
              <w:bottom w:val="single" w:color="auto" w:sz="4" w:space="0"/>
              <w:right w:val="single" w:color="auto" w:sz="4" w:space="0"/>
            </w:tcBorders>
            <w:vAlign w:val="center"/>
          </w:tcPr>
          <w:p w14:paraId="513B7F1B">
            <w:pPr>
              <w:widowControl/>
              <w:jc w:val="center"/>
              <w:rPr>
                <w:rFonts w:hint="eastAsia" w:cs="宋体"/>
                <w:kern w:val="0"/>
              </w:rPr>
            </w:pPr>
          </w:p>
        </w:tc>
        <w:tc>
          <w:tcPr>
            <w:tcW w:w="683" w:type="dxa"/>
            <w:tcBorders>
              <w:top w:val="single" w:color="auto" w:sz="4" w:space="0"/>
              <w:left w:val="single" w:color="auto" w:sz="4" w:space="0"/>
              <w:bottom w:val="single" w:color="auto" w:sz="4" w:space="0"/>
              <w:right w:val="single" w:color="auto" w:sz="4" w:space="0"/>
            </w:tcBorders>
            <w:noWrap/>
            <w:vAlign w:val="center"/>
          </w:tcPr>
          <w:p w14:paraId="18F9F285">
            <w:pPr>
              <w:widowControl/>
              <w:jc w:val="center"/>
              <w:rPr>
                <w:rFonts w:hint="eastAsia" w:cs="宋体"/>
                <w:kern w:val="0"/>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415A89D9">
            <w:pPr>
              <w:widowControl/>
              <w:jc w:val="center"/>
              <w:rPr>
                <w:rFonts w:hint="eastAsia" w:cs="宋体"/>
                <w:kern w:val="0"/>
              </w:rPr>
            </w:pPr>
          </w:p>
        </w:tc>
        <w:tc>
          <w:tcPr>
            <w:tcW w:w="1688" w:type="dxa"/>
            <w:tcBorders>
              <w:top w:val="single" w:color="auto" w:sz="4" w:space="0"/>
              <w:left w:val="single" w:color="auto" w:sz="4" w:space="0"/>
              <w:bottom w:val="single" w:color="auto" w:sz="4" w:space="0"/>
              <w:right w:val="single" w:color="auto" w:sz="4" w:space="0"/>
            </w:tcBorders>
            <w:vAlign w:val="center"/>
          </w:tcPr>
          <w:p w14:paraId="0F326C5C">
            <w:pPr>
              <w:widowControl/>
              <w:jc w:val="center"/>
              <w:rPr>
                <w:rFonts w:hint="eastAsia" w:cs="宋体"/>
                <w:kern w:val="0"/>
              </w:rPr>
            </w:pPr>
          </w:p>
        </w:tc>
        <w:tc>
          <w:tcPr>
            <w:tcW w:w="567" w:type="dxa"/>
            <w:tcBorders>
              <w:top w:val="nil"/>
              <w:left w:val="single" w:color="auto" w:sz="4" w:space="0"/>
              <w:bottom w:val="single" w:color="auto" w:sz="4" w:space="0"/>
              <w:right w:val="single" w:color="auto" w:sz="4" w:space="0"/>
            </w:tcBorders>
            <w:noWrap/>
            <w:vAlign w:val="center"/>
          </w:tcPr>
          <w:p w14:paraId="2640DD88">
            <w:pPr>
              <w:widowControl/>
              <w:jc w:val="center"/>
              <w:rPr>
                <w:rFonts w:hint="eastAsia" w:cs="宋体"/>
                <w:kern w:val="0"/>
              </w:rPr>
            </w:pPr>
            <w:r>
              <w:rPr>
                <w:rFonts w:hint="eastAsia" w:cs="宋体"/>
                <w:kern w:val="0"/>
              </w:rPr>
              <w:t>　</w:t>
            </w:r>
          </w:p>
        </w:tc>
      </w:tr>
      <w:tr w14:paraId="4D74B477">
        <w:tblPrEx>
          <w:tblCellMar>
            <w:top w:w="0" w:type="dxa"/>
            <w:left w:w="108" w:type="dxa"/>
            <w:bottom w:w="0" w:type="dxa"/>
            <w:right w:w="108" w:type="dxa"/>
          </w:tblCellMar>
        </w:tblPrEx>
        <w:trPr>
          <w:trHeight w:val="600" w:hRule="atLeast"/>
        </w:trPr>
        <w:tc>
          <w:tcPr>
            <w:tcW w:w="697" w:type="dxa"/>
            <w:tcBorders>
              <w:top w:val="nil"/>
              <w:left w:val="single" w:color="auto" w:sz="4" w:space="0"/>
              <w:bottom w:val="single" w:color="auto" w:sz="4" w:space="0"/>
              <w:right w:val="single" w:color="auto" w:sz="4" w:space="0"/>
            </w:tcBorders>
            <w:noWrap/>
            <w:vAlign w:val="center"/>
          </w:tcPr>
          <w:p w14:paraId="25561A6C">
            <w:pPr>
              <w:widowControl/>
              <w:jc w:val="center"/>
              <w:rPr>
                <w:rFonts w:hint="eastAsia" w:cs="宋体"/>
                <w:kern w:val="0"/>
              </w:rPr>
            </w:pPr>
            <w:r>
              <w:rPr>
                <w:rFonts w:hint="eastAsia" w:cs="宋体"/>
                <w:kern w:val="0"/>
              </w:rPr>
              <w:t>……</w:t>
            </w:r>
          </w:p>
        </w:tc>
        <w:tc>
          <w:tcPr>
            <w:tcW w:w="2012" w:type="dxa"/>
            <w:tcBorders>
              <w:top w:val="nil"/>
              <w:left w:val="nil"/>
              <w:bottom w:val="single" w:color="auto" w:sz="4" w:space="0"/>
              <w:right w:val="single" w:color="auto" w:sz="4" w:space="0"/>
            </w:tcBorders>
            <w:noWrap/>
            <w:vAlign w:val="center"/>
          </w:tcPr>
          <w:p w14:paraId="4E10DE13">
            <w:pPr>
              <w:widowControl/>
              <w:jc w:val="center"/>
              <w:rPr>
                <w:rFonts w:hint="eastAsia" w:cs="宋体"/>
                <w:kern w:val="0"/>
              </w:rPr>
            </w:pPr>
          </w:p>
        </w:tc>
        <w:tc>
          <w:tcPr>
            <w:tcW w:w="1518" w:type="dxa"/>
            <w:tcBorders>
              <w:top w:val="single" w:color="auto" w:sz="4" w:space="0"/>
              <w:left w:val="nil"/>
              <w:bottom w:val="single" w:color="auto" w:sz="4" w:space="0"/>
              <w:right w:val="single" w:color="auto" w:sz="4" w:space="0"/>
            </w:tcBorders>
            <w:vAlign w:val="center"/>
          </w:tcPr>
          <w:p w14:paraId="7E77E95C">
            <w:pPr>
              <w:widowControl/>
              <w:jc w:val="center"/>
              <w:rPr>
                <w:rFonts w:hint="eastAsia" w:cs="宋体"/>
                <w:kern w:val="0"/>
              </w:rPr>
            </w:pPr>
          </w:p>
        </w:tc>
        <w:tc>
          <w:tcPr>
            <w:tcW w:w="679" w:type="dxa"/>
            <w:tcBorders>
              <w:top w:val="single" w:color="auto" w:sz="4" w:space="0"/>
              <w:left w:val="nil"/>
              <w:bottom w:val="single" w:color="auto" w:sz="4" w:space="0"/>
              <w:right w:val="single" w:color="auto" w:sz="4" w:space="0"/>
            </w:tcBorders>
            <w:vAlign w:val="center"/>
          </w:tcPr>
          <w:p w14:paraId="6DC120C2">
            <w:pPr>
              <w:widowControl/>
              <w:jc w:val="center"/>
              <w:rPr>
                <w:rFonts w:hint="eastAsia" w:cs="宋体"/>
                <w:kern w:val="0"/>
              </w:rPr>
            </w:pPr>
          </w:p>
        </w:tc>
        <w:tc>
          <w:tcPr>
            <w:tcW w:w="683" w:type="dxa"/>
            <w:tcBorders>
              <w:top w:val="single" w:color="auto" w:sz="4" w:space="0"/>
              <w:left w:val="single" w:color="auto" w:sz="4" w:space="0"/>
              <w:bottom w:val="single" w:color="auto" w:sz="4" w:space="0"/>
              <w:right w:val="single" w:color="auto" w:sz="4" w:space="0"/>
            </w:tcBorders>
            <w:noWrap/>
            <w:vAlign w:val="center"/>
          </w:tcPr>
          <w:p w14:paraId="10C03F6E">
            <w:pPr>
              <w:widowControl/>
              <w:jc w:val="center"/>
              <w:rPr>
                <w:rFonts w:hint="eastAsia" w:cs="宋体"/>
                <w:kern w:val="0"/>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5590C2D1">
            <w:pPr>
              <w:widowControl/>
              <w:jc w:val="center"/>
              <w:rPr>
                <w:rFonts w:hint="eastAsia" w:cs="宋体"/>
                <w:kern w:val="0"/>
              </w:rPr>
            </w:pPr>
          </w:p>
        </w:tc>
        <w:tc>
          <w:tcPr>
            <w:tcW w:w="1688" w:type="dxa"/>
            <w:tcBorders>
              <w:top w:val="single" w:color="auto" w:sz="4" w:space="0"/>
              <w:left w:val="single" w:color="auto" w:sz="4" w:space="0"/>
              <w:bottom w:val="single" w:color="auto" w:sz="4" w:space="0"/>
              <w:right w:val="single" w:color="auto" w:sz="4" w:space="0"/>
            </w:tcBorders>
            <w:vAlign w:val="center"/>
          </w:tcPr>
          <w:p w14:paraId="3B3191A0">
            <w:pPr>
              <w:widowControl/>
              <w:jc w:val="center"/>
              <w:rPr>
                <w:rFonts w:hint="eastAsia" w:cs="宋体"/>
                <w:kern w:val="0"/>
              </w:rPr>
            </w:pPr>
          </w:p>
        </w:tc>
        <w:tc>
          <w:tcPr>
            <w:tcW w:w="567" w:type="dxa"/>
            <w:tcBorders>
              <w:top w:val="nil"/>
              <w:left w:val="single" w:color="auto" w:sz="4" w:space="0"/>
              <w:bottom w:val="single" w:color="auto" w:sz="4" w:space="0"/>
              <w:right w:val="single" w:color="auto" w:sz="4" w:space="0"/>
            </w:tcBorders>
            <w:noWrap/>
            <w:vAlign w:val="center"/>
          </w:tcPr>
          <w:p w14:paraId="200AE459">
            <w:pPr>
              <w:widowControl/>
              <w:jc w:val="center"/>
              <w:rPr>
                <w:rFonts w:hint="eastAsia" w:cs="宋体"/>
                <w:kern w:val="0"/>
              </w:rPr>
            </w:pPr>
          </w:p>
        </w:tc>
      </w:tr>
      <w:tr w14:paraId="41F382C0">
        <w:tblPrEx>
          <w:tblCellMar>
            <w:top w:w="0" w:type="dxa"/>
            <w:left w:w="108" w:type="dxa"/>
            <w:bottom w:w="0" w:type="dxa"/>
            <w:right w:w="108" w:type="dxa"/>
          </w:tblCellMar>
        </w:tblPrEx>
        <w:trPr>
          <w:trHeight w:val="600" w:hRule="atLeast"/>
        </w:trPr>
        <w:tc>
          <w:tcPr>
            <w:tcW w:w="697" w:type="dxa"/>
            <w:tcBorders>
              <w:top w:val="single" w:color="auto" w:sz="4" w:space="0"/>
              <w:left w:val="single" w:color="auto" w:sz="4" w:space="0"/>
              <w:bottom w:val="single" w:color="auto" w:sz="4" w:space="0"/>
              <w:right w:val="single" w:color="auto" w:sz="4" w:space="0"/>
            </w:tcBorders>
            <w:noWrap/>
            <w:vAlign w:val="center"/>
          </w:tcPr>
          <w:p w14:paraId="17F51B93">
            <w:pPr>
              <w:widowControl/>
              <w:jc w:val="center"/>
              <w:rPr>
                <w:rFonts w:hint="eastAsia" w:cs="宋体"/>
                <w:kern w:val="0"/>
              </w:rPr>
            </w:pPr>
            <w:r>
              <w:rPr>
                <w:rFonts w:hint="eastAsia" w:cs="宋体"/>
                <w:kern w:val="0"/>
              </w:rPr>
              <w:t>……</w:t>
            </w:r>
          </w:p>
        </w:tc>
        <w:tc>
          <w:tcPr>
            <w:tcW w:w="2012" w:type="dxa"/>
            <w:tcBorders>
              <w:top w:val="single" w:color="auto" w:sz="4" w:space="0"/>
              <w:left w:val="nil"/>
              <w:bottom w:val="single" w:color="auto" w:sz="4" w:space="0"/>
              <w:right w:val="single" w:color="auto" w:sz="4" w:space="0"/>
            </w:tcBorders>
            <w:noWrap/>
            <w:vAlign w:val="center"/>
          </w:tcPr>
          <w:p w14:paraId="029CFB60">
            <w:pPr>
              <w:widowControl/>
              <w:jc w:val="center"/>
              <w:rPr>
                <w:rFonts w:hint="eastAsia" w:cs="宋体"/>
                <w:kern w:val="0"/>
              </w:rPr>
            </w:pPr>
          </w:p>
        </w:tc>
        <w:tc>
          <w:tcPr>
            <w:tcW w:w="1518" w:type="dxa"/>
            <w:tcBorders>
              <w:top w:val="single" w:color="auto" w:sz="4" w:space="0"/>
              <w:left w:val="nil"/>
              <w:bottom w:val="single" w:color="auto" w:sz="4" w:space="0"/>
              <w:right w:val="single" w:color="auto" w:sz="4" w:space="0"/>
            </w:tcBorders>
            <w:vAlign w:val="center"/>
          </w:tcPr>
          <w:p w14:paraId="48B530DD">
            <w:pPr>
              <w:widowControl/>
              <w:jc w:val="center"/>
              <w:rPr>
                <w:rFonts w:hint="eastAsia" w:cs="宋体"/>
                <w:kern w:val="0"/>
              </w:rPr>
            </w:pPr>
          </w:p>
        </w:tc>
        <w:tc>
          <w:tcPr>
            <w:tcW w:w="679" w:type="dxa"/>
            <w:tcBorders>
              <w:top w:val="single" w:color="auto" w:sz="4" w:space="0"/>
              <w:left w:val="nil"/>
              <w:bottom w:val="single" w:color="auto" w:sz="4" w:space="0"/>
              <w:right w:val="single" w:color="auto" w:sz="4" w:space="0"/>
            </w:tcBorders>
            <w:vAlign w:val="center"/>
          </w:tcPr>
          <w:p w14:paraId="518E2605">
            <w:pPr>
              <w:widowControl/>
              <w:jc w:val="center"/>
              <w:rPr>
                <w:rFonts w:hint="eastAsia" w:cs="宋体"/>
                <w:kern w:val="0"/>
              </w:rPr>
            </w:pPr>
          </w:p>
        </w:tc>
        <w:tc>
          <w:tcPr>
            <w:tcW w:w="683" w:type="dxa"/>
            <w:tcBorders>
              <w:top w:val="single" w:color="auto" w:sz="4" w:space="0"/>
              <w:left w:val="single" w:color="auto" w:sz="4" w:space="0"/>
              <w:bottom w:val="single" w:color="auto" w:sz="4" w:space="0"/>
              <w:right w:val="single" w:color="auto" w:sz="4" w:space="0"/>
            </w:tcBorders>
            <w:noWrap/>
            <w:vAlign w:val="center"/>
          </w:tcPr>
          <w:p w14:paraId="16B72E04">
            <w:pPr>
              <w:widowControl/>
              <w:jc w:val="center"/>
              <w:rPr>
                <w:rFonts w:hint="eastAsia" w:cs="宋体"/>
                <w:kern w:val="0"/>
              </w:rPr>
            </w:pPr>
          </w:p>
        </w:tc>
        <w:tc>
          <w:tcPr>
            <w:tcW w:w="1185" w:type="dxa"/>
            <w:tcBorders>
              <w:top w:val="single" w:color="auto" w:sz="4" w:space="0"/>
              <w:left w:val="single" w:color="auto" w:sz="4" w:space="0"/>
              <w:bottom w:val="single" w:color="auto" w:sz="4" w:space="0"/>
              <w:right w:val="single" w:color="auto" w:sz="4" w:space="0"/>
            </w:tcBorders>
            <w:noWrap/>
            <w:vAlign w:val="center"/>
          </w:tcPr>
          <w:p w14:paraId="029707E2">
            <w:pPr>
              <w:widowControl/>
              <w:jc w:val="center"/>
              <w:rPr>
                <w:rFonts w:hint="eastAsia" w:cs="宋体"/>
                <w:kern w:val="0"/>
              </w:rPr>
            </w:pPr>
          </w:p>
        </w:tc>
        <w:tc>
          <w:tcPr>
            <w:tcW w:w="1688" w:type="dxa"/>
            <w:tcBorders>
              <w:top w:val="single" w:color="auto" w:sz="4" w:space="0"/>
              <w:left w:val="single" w:color="auto" w:sz="4" w:space="0"/>
              <w:bottom w:val="single" w:color="auto" w:sz="4" w:space="0"/>
              <w:right w:val="single" w:color="auto" w:sz="4" w:space="0"/>
            </w:tcBorders>
            <w:vAlign w:val="center"/>
          </w:tcPr>
          <w:p w14:paraId="4EAF81E0">
            <w:pPr>
              <w:widowControl/>
              <w:jc w:val="center"/>
              <w:rPr>
                <w:rFonts w:hint="eastAsia" w:cs="宋体"/>
                <w:kern w:val="0"/>
              </w:rPr>
            </w:pPr>
          </w:p>
        </w:tc>
        <w:tc>
          <w:tcPr>
            <w:tcW w:w="567" w:type="dxa"/>
            <w:tcBorders>
              <w:top w:val="single" w:color="auto" w:sz="4" w:space="0"/>
              <w:left w:val="single" w:color="auto" w:sz="4" w:space="0"/>
              <w:bottom w:val="single" w:color="auto" w:sz="4" w:space="0"/>
              <w:right w:val="single" w:color="auto" w:sz="4" w:space="0"/>
            </w:tcBorders>
            <w:noWrap/>
            <w:vAlign w:val="center"/>
          </w:tcPr>
          <w:p w14:paraId="7CE24F45">
            <w:pPr>
              <w:widowControl/>
              <w:jc w:val="center"/>
              <w:rPr>
                <w:rFonts w:hint="eastAsia" w:cs="宋体"/>
                <w:kern w:val="0"/>
              </w:rPr>
            </w:pPr>
          </w:p>
        </w:tc>
      </w:tr>
      <w:tr w14:paraId="78D0816C">
        <w:tblPrEx>
          <w:tblCellMar>
            <w:top w:w="0" w:type="dxa"/>
            <w:left w:w="108" w:type="dxa"/>
            <w:bottom w:w="0" w:type="dxa"/>
            <w:right w:w="108" w:type="dxa"/>
          </w:tblCellMar>
        </w:tblPrEx>
        <w:trPr>
          <w:trHeight w:val="600" w:hRule="atLeast"/>
        </w:trPr>
        <w:tc>
          <w:tcPr>
            <w:tcW w:w="6774" w:type="dxa"/>
            <w:gridSpan w:val="6"/>
            <w:tcBorders>
              <w:top w:val="single" w:color="auto" w:sz="4" w:space="0"/>
              <w:left w:val="single" w:color="auto" w:sz="4" w:space="0"/>
              <w:bottom w:val="single" w:color="auto" w:sz="4" w:space="0"/>
              <w:right w:val="single" w:color="auto" w:sz="4" w:space="0"/>
            </w:tcBorders>
            <w:noWrap/>
            <w:vAlign w:val="center"/>
          </w:tcPr>
          <w:p w14:paraId="64795739">
            <w:pPr>
              <w:widowControl/>
              <w:jc w:val="center"/>
              <w:rPr>
                <w:rFonts w:hint="eastAsia" w:cs="宋体"/>
                <w:kern w:val="0"/>
              </w:rPr>
            </w:pPr>
            <w:r>
              <w:rPr>
                <w:rFonts w:hint="eastAsia" w:cs="宋体"/>
                <w:kern w:val="0"/>
              </w:rPr>
              <w:t>合计</w:t>
            </w:r>
          </w:p>
        </w:tc>
        <w:tc>
          <w:tcPr>
            <w:tcW w:w="1688" w:type="dxa"/>
            <w:tcBorders>
              <w:top w:val="single" w:color="auto" w:sz="4" w:space="0"/>
              <w:left w:val="single" w:color="auto" w:sz="4" w:space="0"/>
              <w:bottom w:val="single" w:color="auto" w:sz="4" w:space="0"/>
              <w:right w:val="single" w:color="auto" w:sz="4" w:space="0"/>
            </w:tcBorders>
            <w:vAlign w:val="center"/>
          </w:tcPr>
          <w:p w14:paraId="77BBC9EE">
            <w:pPr>
              <w:widowControl/>
              <w:jc w:val="center"/>
              <w:rPr>
                <w:rFonts w:hint="eastAsia" w:cs="宋体"/>
                <w:kern w:val="0"/>
              </w:rPr>
            </w:pPr>
          </w:p>
        </w:tc>
        <w:tc>
          <w:tcPr>
            <w:tcW w:w="567" w:type="dxa"/>
            <w:tcBorders>
              <w:top w:val="single" w:color="auto" w:sz="4" w:space="0"/>
              <w:left w:val="single" w:color="auto" w:sz="4" w:space="0"/>
              <w:bottom w:val="single" w:color="auto" w:sz="4" w:space="0"/>
              <w:right w:val="single" w:color="auto" w:sz="4" w:space="0"/>
            </w:tcBorders>
            <w:noWrap/>
            <w:vAlign w:val="center"/>
          </w:tcPr>
          <w:p w14:paraId="595A4683">
            <w:pPr>
              <w:widowControl/>
              <w:jc w:val="center"/>
              <w:rPr>
                <w:rFonts w:hint="eastAsia" w:cs="宋体"/>
                <w:kern w:val="0"/>
              </w:rPr>
            </w:pPr>
          </w:p>
        </w:tc>
      </w:tr>
    </w:tbl>
    <w:p w14:paraId="7F1B145C">
      <w:pPr>
        <w:adjustRightInd w:val="0"/>
        <w:snapToGrid w:val="0"/>
        <w:rPr>
          <w:rFonts w:hint="eastAsia"/>
        </w:rPr>
      </w:pPr>
    </w:p>
    <w:p w14:paraId="7CF3C2D0">
      <w:pPr>
        <w:adjustRightInd w:val="0"/>
        <w:snapToGrid w:val="0"/>
        <w:rPr>
          <w:rFonts w:hint="eastAsia"/>
        </w:rPr>
      </w:pPr>
      <w:r>
        <w:rPr>
          <w:rFonts w:hint="eastAsia"/>
        </w:rPr>
        <w:t>注：</w:t>
      </w:r>
    </w:p>
    <w:p w14:paraId="562A9102">
      <w:pPr>
        <w:adjustRightInd w:val="0"/>
        <w:snapToGrid w:val="0"/>
        <w:rPr>
          <w:rFonts w:hint="eastAsia"/>
        </w:rPr>
      </w:pPr>
      <w:r>
        <w:t>（</w:t>
      </w:r>
      <w:r>
        <w:rPr>
          <w:rFonts w:hint="eastAsia"/>
        </w:rPr>
        <w:t>1</w:t>
      </w:r>
      <w:r>
        <w:t>）</w:t>
      </w:r>
      <w:r>
        <w:rPr>
          <w:rFonts w:hint="eastAsia"/>
        </w:rPr>
        <w:t>供应商根据项目情况和自身情况列明各分项价格，要求各分项价格之和等于合计的总价。各分项价格要求完整无漏项，完全包括完成与本项目有关的一切费用，否则视同免费提供；</w:t>
      </w:r>
    </w:p>
    <w:p w14:paraId="0A11995A">
      <w:pPr>
        <w:adjustRightInd w:val="0"/>
        <w:snapToGrid w:val="0"/>
        <w:rPr>
          <w:rFonts w:hint="eastAsia"/>
        </w:rPr>
      </w:pPr>
      <w:r>
        <w:t>（</w:t>
      </w:r>
      <w:r>
        <w:rPr>
          <w:rFonts w:hint="eastAsia"/>
        </w:rPr>
        <w:t>2</w:t>
      </w:r>
      <w:r>
        <w:t>）保留小数点后两位数字。</w:t>
      </w:r>
    </w:p>
    <w:p w14:paraId="6B630A39">
      <w:pPr>
        <w:adjustRightInd w:val="0"/>
        <w:snapToGrid w:val="0"/>
        <w:rPr>
          <w:rFonts w:hint="eastAsia"/>
        </w:rPr>
      </w:pPr>
    </w:p>
    <w:p w14:paraId="444D0FC5">
      <w:pPr>
        <w:adjustRightInd w:val="0"/>
        <w:snapToGrid w:val="0"/>
        <w:rPr>
          <w:rFonts w:hint="eastAsia"/>
        </w:rPr>
      </w:pPr>
      <w:r>
        <w:rPr>
          <w:rFonts w:hint="eastAsia"/>
        </w:rPr>
        <w:t>供应商名称：（盖章）________________________________</w:t>
      </w:r>
    </w:p>
    <w:p w14:paraId="09356A2A">
      <w:pPr>
        <w:adjustRightInd w:val="0"/>
        <w:snapToGrid w:val="0"/>
        <w:rPr>
          <w:rFonts w:hint="eastAsia"/>
        </w:rPr>
      </w:pPr>
      <w:r>
        <w:rPr>
          <w:rFonts w:hint="eastAsia"/>
        </w:rPr>
        <w:t>法定代表人（或委托代理人）（签字或盖章）：________________________________</w:t>
      </w:r>
    </w:p>
    <w:p w14:paraId="3D5B9D96">
      <w:pPr>
        <w:adjustRightInd w:val="0"/>
        <w:snapToGrid w:val="0"/>
        <w:rPr>
          <w:rFonts w:hint="eastAsia"/>
        </w:rPr>
      </w:pPr>
      <w:r>
        <w:rPr>
          <w:rFonts w:hint="eastAsia"/>
        </w:rPr>
        <w:t>日期：_____________________</w:t>
      </w:r>
    </w:p>
    <w:p w14:paraId="2D4A7351">
      <w:pPr>
        <w:widowControl/>
        <w:spacing w:line="240" w:lineRule="auto"/>
        <w:rPr>
          <w:rFonts w:ascii="Cambria" w:hAnsi="Cambria"/>
          <w:b/>
          <w:bCs/>
          <w:kern w:val="0"/>
          <w:sz w:val="28"/>
          <w:szCs w:val="32"/>
        </w:rPr>
      </w:pPr>
      <w:r>
        <w:br w:type="page"/>
      </w:r>
    </w:p>
    <w:p w14:paraId="3C4162EA">
      <w:pPr>
        <w:pStyle w:val="3"/>
      </w:pPr>
      <w:r>
        <w:rPr>
          <w:rFonts w:hint="eastAsia"/>
        </w:rPr>
        <w:t>2、竞争性磋商响应函</w:t>
      </w:r>
    </w:p>
    <w:p w14:paraId="077BE9F2">
      <w:pPr>
        <w:ind w:firstLine="120" w:firstLineChars="50"/>
        <w:rPr>
          <w:rFonts w:hint="eastAsia"/>
          <w:bCs/>
        </w:rPr>
      </w:pPr>
      <w:r>
        <w:rPr>
          <w:rFonts w:hint="eastAsia"/>
          <w:bCs/>
        </w:rPr>
        <w:t>致：海南省实博招标代理有限公司</w:t>
      </w:r>
    </w:p>
    <w:p w14:paraId="04D9DBFB">
      <w:pPr>
        <w:ind w:firstLine="480" w:firstLineChars="200"/>
        <w:rPr>
          <w:rFonts w:hint="eastAsia"/>
          <w:bCs/>
        </w:rPr>
      </w:pPr>
      <w:r>
        <w:rPr>
          <w:rFonts w:hint="eastAsia"/>
          <w:bCs/>
        </w:rPr>
        <w:t>我方全面研究了</w:t>
      </w:r>
      <w:r>
        <w:rPr>
          <w:rFonts w:hint="eastAsia"/>
          <w:bCs/>
          <w:u w:val="single"/>
        </w:rPr>
        <w:t>（项目编号）</w:t>
      </w:r>
      <w:r>
        <w:rPr>
          <w:rFonts w:hint="eastAsia"/>
          <w:bCs/>
        </w:rPr>
        <w:t>的</w:t>
      </w:r>
      <w:r>
        <w:rPr>
          <w:rFonts w:hint="eastAsia"/>
          <w:bCs/>
          <w:u w:val="single"/>
        </w:rPr>
        <w:t>（分包号）</w:t>
      </w:r>
      <w:r>
        <w:rPr>
          <w:rFonts w:hint="eastAsia"/>
          <w:bCs/>
        </w:rPr>
        <w:t>（若无分包则无需填写）磋商文件，决定参加贵单位组织的采购活动。我方授权</w:t>
      </w:r>
      <w:r>
        <w:rPr>
          <w:rFonts w:hint="eastAsia"/>
          <w:bCs/>
          <w:u w:val="single"/>
        </w:rPr>
        <w:t>（姓名、职务）</w:t>
      </w:r>
      <w:r>
        <w:rPr>
          <w:rFonts w:hint="eastAsia"/>
          <w:bCs/>
        </w:rPr>
        <w:t>代表我方</w:t>
      </w:r>
      <w:r>
        <w:rPr>
          <w:rFonts w:hint="eastAsia"/>
          <w:bCs/>
          <w:u w:val="single"/>
        </w:rPr>
        <w:t>（供应商的名称）</w:t>
      </w:r>
      <w:r>
        <w:rPr>
          <w:rFonts w:hint="eastAsia"/>
          <w:bCs/>
        </w:rPr>
        <w:t>全权处理本项目磋商的有关事宜。</w:t>
      </w:r>
    </w:p>
    <w:p w14:paraId="00AF9D81">
      <w:pPr>
        <w:ind w:firstLine="480" w:firstLineChars="200"/>
        <w:rPr>
          <w:rFonts w:hint="eastAsia"/>
          <w:bCs/>
        </w:rPr>
      </w:pPr>
      <w:r>
        <w:rPr>
          <w:rFonts w:hint="eastAsia"/>
          <w:bCs/>
        </w:rPr>
        <w:t>1、我方认可磋商文件的所有条款，并承诺：下列任何情况发生时，我方将不要求退还磋商保证金（若有要求）：</w:t>
      </w:r>
    </w:p>
    <w:p w14:paraId="6C61587A">
      <w:pPr>
        <w:ind w:firstLine="480" w:firstLineChars="200"/>
        <w:rPr>
          <w:rFonts w:hint="eastAsia" w:cs="宋体"/>
          <w:bCs/>
        </w:rPr>
      </w:pPr>
      <w:r>
        <w:rPr>
          <w:rFonts w:hint="eastAsia" w:cs="宋体"/>
          <w:bCs/>
        </w:rPr>
        <w:t>（1）如果我方在磋商有效期内撤回磋商文件；</w:t>
      </w:r>
    </w:p>
    <w:p w14:paraId="75747418">
      <w:pPr>
        <w:ind w:firstLine="480" w:firstLineChars="200"/>
        <w:rPr>
          <w:rFonts w:hint="eastAsia" w:cs="宋体"/>
          <w:bCs/>
        </w:rPr>
      </w:pPr>
      <w:r>
        <w:rPr>
          <w:rFonts w:hint="eastAsia" w:cs="宋体"/>
          <w:bCs/>
        </w:rPr>
        <w:t>（2）我方提供了虚假响应磋商文件的响应文件；</w:t>
      </w:r>
    </w:p>
    <w:p w14:paraId="15BE9AEF">
      <w:pPr>
        <w:ind w:firstLine="480" w:firstLineChars="200"/>
        <w:rPr>
          <w:rFonts w:hint="eastAsia" w:cs="宋体"/>
          <w:bCs/>
        </w:rPr>
      </w:pPr>
      <w:r>
        <w:rPr>
          <w:rFonts w:hint="eastAsia" w:cs="宋体"/>
          <w:bCs/>
        </w:rPr>
        <w:t>（3）在磋商过程中有违规违纪行为；</w:t>
      </w:r>
    </w:p>
    <w:p w14:paraId="5F388AF7">
      <w:pPr>
        <w:ind w:firstLine="480" w:firstLineChars="200"/>
        <w:rPr>
          <w:rFonts w:hint="eastAsia" w:cs="宋体"/>
          <w:bCs/>
        </w:rPr>
      </w:pPr>
      <w:r>
        <w:rPr>
          <w:rFonts w:hint="eastAsia" w:cs="宋体"/>
          <w:bCs/>
        </w:rPr>
        <w:t>（4）我方在磋商有效期内收到成交通知书后，由于我方原因未能按照磋商文件要求提交履约保证金（如有）或与采购人签订并履行合同。</w:t>
      </w:r>
    </w:p>
    <w:p w14:paraId="4160FC14">
      <w:pPr>
        <w:ind w:firstLine="480" w:firstLineChars="200"/>
        <w:rPr>
          <w:rFonts w:hint="eastAsia" w:cs="宋体"/>
        </w:rPr>
      </w:pPr>
      <w:r>
        <w:rPr>
          <w:rFonts w:hint="eastAsia"/>
        </w:rPr>
        <w:t>2、</w:t>
      </w:r>
      <w:r>
        <w:rPr>
          <w:rFonts w:hint="eastAsia" w:cs="宋体"/>
          <w:lang w:val="en-GB"/>
        </w:rPr>
        <w:t>我方已经详细地阅读了全部磋商文件及其附件（</w:t>
      </w:r>
      <w:r>
        <w:rPr>
          <w:rFonts w:hint="eastAsia" w:cs="宋体"/>
        </w:rPr>
        <w:t>如有</w:t>
      </w:r>
      <w:r>
        <w:rPr>
          <w:rFonts w:hint="eastAsia" w:cs="宋体"/>
          <w:lang w:val="en-GB"/>
        </w:rPr>
        <w:t>），包括澄清及参考文件。我方已完全清晰理解文件的要求，不存在任何含糊不清和误解之处，并接受磋商文件的各项条款要求，遵守文件中的各项规定，按磋商文件的要求进行</w:t>
      </w:r>
      <w:r>
        <w:rPr>
          <w:rFonts w:hint="eastAsia" w:cs="宋体"/>
          <w:bCs/>
        </w:rPr>
        <w:t>磋商</w:t>
      </w:r>
      <w:r>
        <w:rPr>
          <w:rFonts w:hint="eastAsia" w:cs="宋体"/>
          <w:lang w:val="en-GB"/>
        </w:rPr>
        <w:t>。</w:t>
      </w:r>
    </w:p>
    <w:p w14:paraId="6E23B8A8">
      <w:pPr>
        <w:ind w:firstLine="480" w:firstLineChars="200"/>
        <w:rPr>
          <w:rFonts w:hint="eastAsia"/>
        </w:rPr>
      </w:pPr>
      <w:r>
        <w:rPr>
          <w:rFonts w:hint="eastAsia" w:cs="宋体"/>
        </w:rPr>
        <w:t>3、</w:t>
      </w:r>
      <w:r>
        <w:rPr>
          <w:rFonts w:hint="eastAsia" w:cs="宋体"/>
          <w:lang w:val="en-GB"/>
        </w:rPr>
        <w:t>我方已向贵方提供一切所需的证明材料。不论在任何时候，将按贵方要求如实提供一切补充材料，承诺在本次</w:t>
      </w:r>
      <w:r>
        <w:rPr>
          <w:rFonts w:hint="eastAsia" w:cs="宋体"/>
          <w:bCs/>
        </w:rPr>
        <w:t>磋商</w:t>
      </w:r>
      <w:r>
        <w:rPr>
          <w:rFonts w:hint="eastAsia" w:cs="宋体"/>
          <w:lang w:val="en-GB"/>
        </w:rPr>
        <w:t>中提供的一切文件，无论是原件还是复印件均为真实和准确的，绝无任何虚假、伪造和夸大的成份，否则，愿承担相应的后果和法律责任。</w:t>
      </w:r>
    </w:p>
    <w:p w14:paraId="6429B5E4">
      <w:pPr>
        <w:ind w:firstLine="480" w:firstLineChars="200"/>
        <w:rPr>
          <w:rFonts w:hint="eastAsia"/>
        </w:rPr>
      </w:pPr>
      <w:r>
        <w:rPr>
          <w:rFonts w:hint="eastAsia"/>
        </w:rPr>
        <w:t>4、我方同意按照磋商文件第二章“供应商须知”的规定，本响应文件的</w:t>
      </w:r>
      <w:r>
        <w:rPr>
          <w:rFonts w:hint="eastAsia" w:cs="宋体"/>
          <w:bCs/>
        </w:rPr>
        <w:t>磋商</w:t>
      </w:r>
      <w:r>
        <w:rPr>
          <w:rFonts w:hint="eastAsia"/>
        </w:rPr>
        <w:t>有效期为从响应截止日期起计算的</w:t>
      </w:r>
      <w:r>
        <w:rPr>
          <w:rFonts w:hint="eastAsia"/>
          <w:u w:val="single"/>
        </w:rPr>
        <w:t xml:space="preserve"> </w:t>
      </w:r>
      <w:r>
        <w:rPr>
          <w:rFonts w:hint="eastAsia"/>
        </w:rPr>
        <w:t>天，在此期间，本响应文件将始终对我方具有约束力，并可随时被接受。</w:t>
      </w:r>
    </w:p>
    <w:p w14:paraId="564F2CA9">
      <w:pPr>
        <w:ind w:firstLine="480"/>
        <w:rPr>
          <w:rFonts w:hint="eastAsia"/>
        </w:rPr>
      </w:pPr>
      <w:r>
        <w:rPr>
          <w:rFonts w:hint="eastAsia"/>
        </w:rPr>
        <w:t>5、我方完全理解贵方不一定要接受最低报价的</w:t>
      </w:r>
      <w:r>
        <w:rPr>
          <w:rFonts w:hint="eastAsia" w:cs="宋体"/>
          <w:bCs/>
        </w:rPr>
        <w:t>磋商</w:t>
      </w:r>
      <w:r>
        <w:rPr>
          <w:rFonts w:hint="eastAsia"/>
        </w:rPr>
        <w:t>，即</w:t>
      </w:r>
      <w:r>
        <w:rPr>
          <w:rFonts w:hint="eastAsia"/>
          <w:b/>
          <w:bCs/>
          <w:u w:val="single"/>
        </w:rPr>
        <w:t>最低报价不是成交的保证</w:t>
      </w:r>
      <w:r>
        <w:rPr>
          <w:rFonts w:hint="eastAsia"/>
        </w:rPr>
        <w:t>。</w:t>
      </w:r>
    </w:p>
    <w:p w14:paraId="5A8C4F0D">
      <w:pPr>
        <w:ind w:firstLine="480"/>
        <w:rPr>
          <w:rFonts w:hint="eastAsia"/>
        </w:rPr>
      </w:pPr>
      <w:r>
        <w:rPr>
          <w:rFonts w:hint="eastAsia"/>
        </w:rPr>
        <w:t>6、如果我方成交，我们将根据磋商文件的规定严格履行自己的责任和义务。</w:t>
      </w:r>
    </w:p>
    <w:p w14:paraId="3545E0C3">
      <w:pPr>
        <w:ind w:firstLine="480" w:firstLineChars="200"/>
        <w:rPr>
          <w:rFonts w:hint="eastAsia"/>
          <w:bCs/>
        </w:rPr>
      </w:pPr>
    </w:p>
    <w:p w14:paraId="35B77F38">
      <w:pPr>
        <w:ind w:firstLine="480" w:firstLineChars="200"/>
        <w:rPr>
          <w:rFonts w:hint="eastAsia"/>
          <w:bCs/>
        </w:rPr>
      </w:pPr>
      <w:r>
        <w:rPr>
          <w:rFonts w:hint="eastAsia"/>
          <w:bCs/>
        </w:rPr>
        <w:t>供应商名称：        （盖章）</w:t>
      </w:r>
    </w:p>
    <w:p w14:paraId="4FE24B0A">
      <w:pPr>
        <w:ind w:firstLine="480" w:firstLineChars="200"/>
        <w:rPr>
          <w:rFonts w:hint="eastAsia"/>
          <w:bCs/>
        </w:rPr>
      </w:pPr>
      <w:r>
        <w:rPr>
          <w:rFonts w:hint="eastAsia"/>
          <w:bCs/>
        </w:rPr>
        <w:t>法定代表人（或委托代理人）</w:t>
      </w:r>
      <w:r>
        <w:rPr>
          <w:rFonts w:hint="eastAsia"/>
        </w:rPr>
        <w:t>（签字或盖章）</w:t>
      </w:r>
      <w:r>
        <w:rPr>
          <w:rFonts w:hint="eastAsia"/>
          <w:bCs/>
        </w:rPr>
        <w:t>：</w:t>
      </w:r>
    </w:p>
    <w:p w14:paraId="3EA65B66">
      <w:pPr>
        <w:ind w:firstLine="480" w:firstLineChars="200"/>
        <w:rPr>
          <w:rFonts w:hint="eastAsia"/>
          <w:bCs/>
          <w:u w:val="single"/>
        </w:rPr>
      </w:pPr>
      <w:r>
        <w:rPr>
          <w:rFonts w:hint="eastAsia"/>
          <w:bCs/>
        </w:rPr>
        <w:t>联系电话：</w:t>
      </w:r>
    </w:p>
    <w:p w14:paraId="24094652">
      <w:pPr>
        <w:ind w:firstLine="480" w:firstLineChars="200"/>
        <w:rPr>
          <w:rFonts w:hint="eastAsia"/>
          <w:bCs/>
          <w:u w:val="single"/>
        </w:rPr>
      </w:pPr>
      <w:r>
        <w:rPr>
          <w:rFonts w:hint="eastAsia"/>
          <w:bCs/>
        </w:rPr>
        <w:t>传    真：</w:t>
      </w:r>
    </w:p>
    <w:p w14:paraId="6A716186">
      <w:pPr>
        <w:ind w:firstLine="480" w:firstLineChars="200"/>
        <w:rPr>
          <w:rFonts w:hint="eastAsia"/>
          <w:bCs/>
        </w:rPr>
      </w:pPr>
      <w:r>
        <w:rPr>
          <w:rFonts w:hint="eastAsia"/>
          <w:bCs/>
        </w:rPr>
        <w:t>日    期：</w:t>
      </w:r>
    </w:p>
    <w:p w14:paraId="55F04EAB">
      <w:pPr>
        <w:pStyle w:val="3"/>
        <w:rPr>
          <w:rFonts w:hint="eastAsia" w:ascii="宋体" w:hAnsi="宋体"/>
          <w:szCs w:val="28"/>
        </w:rPr>
      </w:pPr>
      <w:r>
        <w:br w:type="page"/>
      </w:r>
      <w:bookmarkEnd w:id="109"/>
      <w:bookmarkEnd w:id="110"/>
      <w:bookmarkEnd w:id="111"/>
      <w:bookmarkEnd w:id="112"/>
      <w:r>
        <w:rPr>
          <w:rFonts w:hint="eastAsia"/>
        </w:rPr>
        <w:t>3、法定代表人证明书</w:t>
      </w:r>
    </w:p>
    <w:p w14:paraId="54BD1439">
      <w:pPr>
        <w:pStyle w:val="69"/>
        <w:ind w:left="480" w:firstLine="482"/>
        <w:jc w:val="center"/>
        <w:rPr>
          <w:rFonts w:hint="eastAsia"/>
          <w:b/>
          <w:bCs/>
          <w:szCs w:val="24"/>
        </w:rPr>
      </w:pPr>
    </w:p>
    <w:p w14:paraId="2C9B86A9">
      <w:pPr>
        <w:pStyle w:val="69"/>
        <w:ind w:left="480" w:firstLine="480"/>
        <w:rPr>
          <w:rFonts w:hint="eastAsia"/>
          <w:szCs w:val="24"/>
          <w:u w:val="single"/>
        </w:rPr>
      </w:pPr>
    </w:p>
    <w:p w14:paraId="5E4BECA5">
      <w:pPr>
        <w:tabs>
          <w:tab w:val="left" w:pos="5387"/>
        </w:tabs>
        <w:snapToGrid w:val="0"/>
        <w:rPr>
          <w:rFonts w:hint="eastAsia"/>
        </w:rPr>
      </w:pPr>
      <w:r>
        <w:rPr>
          <w:rFonts w:hint="eastAsia"/>
        </w:rPr>
        <w:t>供应商：</w:t>
      </w:r>
      <w:r>
        <w:rPr>
          <w:rFonts w:hint="eastAsia"/>
          <w:u w:val="single"/>
        </w:rPr>
        <w:tab/>
      </w:r>
    </w:p>
    <w:p w14:paraId="014BF7C2">
      <w:pPr>
        <w:tabs>
          <w:tab w:val="left" w:pos="5387"/>
        </w:tabs>
        <w:snapToGrid w:val="0"/>
        <w:rPr>
          <w:rFonts w:hint="eastAsia"/>
          <w:u w:val="single"/>
        </w:rPr>
      </w:pPr>
      <w:r>
        <w:rPr>
          <w:rFonts w:hint="eastAsia"/>
        </w:rPr>
        <w:t>单位性质：</w:t>
      </w:r>
      <w:r>
        <w:rPr>
          <w:rFonts w:hint="eastAsia"/>
          <w:u w:val="single"/>
        </w:rPr>
        <w:tab/>
      </w:r>
    </w:p>
    <w:p w14:paraId="68538226">
      <w:pPr>
        <w:tabs>
          <w:tab w:val="left" w:pos="5387"/>
        </w:tabs>
        <w:snapToGrid w:val="0"/>
        <w:rPr>
          <w:rFonts w:hint="eastAsia"/>
        </w:rPr>
      </w:pPr>
      <w:r>
        <w:rPr>
          <w:rFonts w:hint="eastAsia"/>
        </w:rPr>
        <w:t>地    址：</w:t>
      </w:r>
      <w:r>
        <w:rPr>
          <w:rFonts w:hint="eastAsia"/>
          <w:u w:val="single"/>
        </w:rPr>
        <w:tab/>
      </w:r>
    </w:p>
    <w:p w14:paraId="1925C75F">
      <w:pPr>
        <w:snapToGrid w:val="0"/>
        <w:rPr>
          <w:rFonts w:hint="eastAsia"/>
        </w:rPr>
      </w:pPr>
      <w:r>
        <w:rPr>
          <w:rFonts w:hint="eastAsia"/>
        </w:rPr>
        <w:t>成立时间：</w:t>
      </w:r>
      <w:r>
        <w:rPr>
          <w:rFonts w:hint="eastAsia"/>
          <w:u w:val="single"/>
        </w:rPr>
        <w:t xml:space="preserve">    </w:t>
      </w:r>
      <w:r>
        <w:rPr>
          <w:rFonts w:hint="eastAsia"/>
        </w:rPr>
        <w:t>年</w:t>
      </w:r>
      <w:r>
        <w:rPr>
          <w:rFonts w:hint="eastAsia"/>
          <w:u w:val="single"/>
        </w:rPr>
        <w:t xml:space="preserve">   </w:t>
      </w:r>
      <w:r>
        <w:rPr>
          <w:rFonts w:hint="eastAsia"/>
        </w:rPr>
        <w:t>月</w:t>
      </w:r>
      <w:r>
        <w:rPr>
          <w:rFonts w:hint="eastAsia"/>
          <w:u w:val="single"/>
        </w:rPr>
        <w:t xml:space="preserve">   </w:t>
      </w:r>
      <w:r>
        <w:rPr>
          <w:rFonts w:hint="eastAsia"/>
        </w:rPr>
        <w:t>日</w:t>
      </w:r>
    </w:p>
    <w:p w14:paraId="4EADADA7">
      <w:pPr>
        <w:tabs>
          <w:tab w:val="left" w:pos="5387"/>
        </w:tabs>
        <w:snapToGrid w:val="0"/>
        <w:rPr>
          <w:rFonts w:hint="eastAsia"/>
        </w:rPr>
      </w:pPr>
      <w:r>
        <w:rPr>
          <w:rFonts w:hint="eastAsia"/>
        </w:rPr>
        <w:t>经营期限：</w:t>
      </w:r>
      <w:r>
        <w:rPr>
          <w:rFonts w:hint="eastAsia"/>
          <w:u w:val="single"/>
        </w:rPr>
        <w:tab/>
      </w:r>
    </w:p>
    <w:p w14:paraId="3352865B">
      <w:pPr>
        <w:tabs>
          <w:tab w:val="left" w:pos="2835"/>
          <w:tab w:val="left" w:pos="5387"/>
        </w:tabs>
        <w:snapToGrid w:val="0"/>
        <w:rPr>
          <w:rFonts w:hint="eastAsia"/>
        </w:rPr>
      </w:pPr>
      <w:r>
        <w:rPr>
          <w:rFonts w:hint="eastAsia"/>
        </w:rPr>
        <w:t>姓    名：</w:t>
      </w:r>
      <w:r>
        <w:rPr>
          <w:rFonts w:hint="eastAsia"/>
          <w:u w:val="single"/>
        </w:rPr>
        <w:tab/>
      </w:r>
      <w:r>
        <w:rPr>
          <w:rFonts w:hint="eastAsia"/>
        </w:rPr>
        <w:t>性    别：</w:t>
      </w:r>
      <w:r>
        <w:rPr>
          <w:rFonts w:hint="eastAsia"/>
          <w:u w:val="single"/>
        </w:rPr>
        <w:tab/>
      </w:r>
    </w:p>
    <w:p w14:paraId="3ED892CA">
      <w:pPr>
        <w:tabs>
          <w:tab w:val="left" w:pos="2835"/>
          <w:tab w:val="left" w:pos="5387"/>
        </w:tabs>
        <w:snapToGrid w:val="0"/>
        <w:rPr>
          <w:rFonts w:hint="eastAsia"/>
        </w:rPr>
      </w:pPr>
      <w:r>
        <w:rPr>
          <w:rFonts w:hint="eastAsia"/>
        </w:rPr>
        <w:t>年    龄：</w:t>
      </w:r>
      <w:r>
        <w:rPr>
          <w:rFonts w:hint="eastAsia"/>
          <w:u w:val="single"/>
        </w:rPr>
        <w:tab/>
      </w:r>
      <w:r>
        <w:rPr>
          <w:rFonts w:hint="eastAsia"/>
        </w:rPr>
        <w:t>职    务：</w:t>
      </w:r>
      <w:r>
        <w:rPr>
          <w:rFonts w:hint="eastAsia"/>
          <w:u w:val="single"/>
        </w:rPr>
        <w:tab/>
      </w:r>
    </w:p>
    <w:p w14:paraId="55B6EDF7">
      <w:pPr>
        <w:snapToGrid w:val="0"/>
        <w:rPr>
          <w:rFonts w:hint="eastAsia"/>
        </w:rPr>
      </w:pPr>
      <w:r>
        <w:rPr>
          <w:rFonts w:hint="eastAsia"/>
        </w:rPr>
        <w:t>系（供应商名称）的法定代表人。</w:t>
      </w:r>
    </w:p>
    <w:p w14:paraId="35EA75AB">
      <w:pPr>
        <w:snapToGrid w:val="0"/>
        <w:rPr>
          <w:rFonts w:hint="eastAsia"/>
        </w:rPr>
      </w:pPr>
      <w:r>
        <w:rPr>
          <w:rFonts w:hint="eastAsia"/>
        </w:rPr>
        <w:t>特此证明。</w:t>
      </w:r>
    </w:p>
    <w:p w14:paraId="12B24749">
      <w:pPr>
        <w:snapToGrid w:val="0"/>
        <w:rPr>
          <w:rFonts w:hint="eastAsia"/>
        </w:rPr>
      </w:pPr>
      <w:r>
        <w:rPr>
          <w:rFonts w:hint="eastAsia"/>
        </w:rPr>
        <w:t>附：法定代表人二代身份证（正反两面）复印件</w:t>
      </w:r>
    </w:p>
    <w:p w14:paraId="6D8E696D">
      <w:pPr>
        <w:snapToGrid w:val="0"/>
        <w:rPr>
          <w:rFonts w:hint="eastAsia"/>
        </w:rPr>
      </w:pPr>
    </w:p>
    <w:p w14:paraId="32CC8A4E">
      <w:pPr>
        <w:snapToGrid w:val="0"/>
        <w:rPr>
          <w:rFonts w:hint="eastAsia"/>
        </w:rPr>
      </w:pPr>
    </w:p>
    <w:p w14:paraId="02A974C8">
      <w:pPr>
        <w:snapToGrid w:val="0"/>
        <w:rPr>
          <w:rFonts w:hint="eastAsia"/>
        </w:rPr>
      </w:pPr>
    </w:p>
    <w:p w14:paraId="5B4C5D0F">
      <w:pPr>
        <w:wordWrap w:val="0"/>
        <w:snapToGrid w:val="0"/>
        <w:jc w:val="right"/>
        <w:rPr>
          <w:rFonts w:hint="eastAsia"/>
        </w:rPr>
      </w:pPr>
      <w:r>
        <w:rPr>
          <w:rFonts w:hint="eastAsia"/>
        </w:rPr>
        <w:t xml:space="preserve">供应商：（盖章）         </w:t>
      </w:r>
    </w:p>
    <w:p w14:paraId="7453B9C3">
      <w:pPr>
        <w:snapToGrid w:val="0"/>
        <w:jc w:val="right"/>
        <w:rPr>
          <w:rFonts w:hint="eastAsia"/>
        </w:rPr>
      </w:pPr>
    </w:p>
    <w:p w14:paraId="4BBB33F2">
      <w:pPr>
        <w:jc w:val="right"/>
        <w:rPr>
          <w:rFonts w:hint="eastAsia"/>
        </w:rPr>
      </w:pPr>
      <w:r>
        <w:rPr>
          <w:rFonts w:hint="eastAsia"/>
        </w:rPr>
        <w:t>年   月   日</w:t>
      </w:r>
    </w:p>
    <w:p w14:paraId="7ED1783A">
      <w:pPr>
        <w:pStyle w:val="3"/>
      </w:pPr>
      <w:r>
        <w:rPr>
          <w:szCs w:val="28"/>
        </w:rPr>
        <w:br w:type="page"/>
      </w:r>
      <w:bookmarkStart w:id="113" w:name="_Toc311036358"/>
      <w:bookmarkEnd w:id="113"/>
      <w:r>
        <w:rPr>
          <w:rFonts w:hint="eastAsia"/>
        </w:rPr>
        <w:t>4、法人授权委托书</w:t>
      </w:r>
    </w:p>
    <w:p w14:paraId="2EA30F11">
      <w:pPr>
        <w:ind w:left="480"/>
        <w:rPr>
          <w:rFonts w:hint="eastAsia"/>
        </w:rPr>
      </w:pPr>
    </w:p>
    <w:p w14:paraId="348D28F7">
      <w:pPr>
        <w:pStyle w:val="69"/>
        <w:ind w:right="1400"/>
        <w:rPr>
          <w:rFonts w:hint="eastAsia"/>
          <w:b/>
          <w:szCs w:val="24"/>
          <w:u w:val="single"/>
        </w:rPr>
      </w:pPr>
      <w:r>
        <w:rPr>
          <w:rFonts w:hint="eastAsia"/>
          <w:b/>
          <w:szCs w:val="24"/>
          <w:u w:val="single"/>
        </w:rPr>
        <w:t>致：海南省实博招标代理有限公司</w:t>
      </w:r>
    </w:p>
    <w:p w14:paraId="515FFCE9">
      <w:pPr>
        <w:pStyle w:val="69"/>
        <w:ind w:right="-58"/>
        <w:rPr>
          <w:rFonts w:hint="eastAsia"/>
          <w:szCs w:val="24"/>
        </w:rPr>
      </w:pPr>
      <w:r>
        <w:rPr>
          <w:rFonts w:hint="eastAsia"/>
          <w:szCs w:val="24"/>
        </w:rPr>
        <w:t>本授权书声明：</w:t>
      </w:r>
    </w:p>
    <w:p w14:paraId="24514C00">
      <w:pPr>
        <w:tabs>
          <w:tab w:val="left" w:pos="3828"/>
          <w:tab w:val="left" w:pos="7230"/>
        </w:tabs>
        <w:snapToGrid w:val="0"/>
        <w:rPr>
          <w:rFonts w:hint="eastAsia"/>
          <w:u w:val="single"/>
        </w:rPr>
      </w:pPr>
      <w:r>
        <w:rPr>
          <w:rFonts w:hint="eastAsia"/>
        </w:rPr>
        <w:t>委托人：姓名：</w:t>
      </w:r>
      <w:r>
        <w:rPr>
          <w:rFonts w:hint="eastAsia"/>
          <w:u w:val="single"/>
        </w:rPr>
        <w:tab/>
      </w:r>
      <w:r>
        <w:rPr>
          <w:rFonts w:hint="eastAsia"/>
        </w:rPr>
        <w:t>性别：</w:t>
      </w:r>
      <w:r>
        <w:rPr>
          <w:rFonts w:hint="eastAsia"/>
          <w:u w:val="single"/>
        </w:rPr>
        <w:tab/>
      </w:r>
    </w:p>
    <w:p w14:paraId="68593512">
      <w:pPr>
        <w:tabs>
          <w:tab w:val="left" w:pos="3828"/>
          <w:tab w:val="left" w:pos="7230"/>
        </w:tabs>
        <w:snapToGrid w:val="0"/>
        <w:rPr>
          <w:rFonts w:hint="eastAsia"/>
          <w:u w:val="single"/>
        </w:rPr>
      </w:pPr>
      <w:r>
        <w:rPr>
          <w:rFonts w:hint="eastAsia"/>
        </w:rPr>
        <w:t>所在单位：</w:t>
      </w:r>
      <w:r>
        <w:rPr>
          <w:rFonts w:hint="eastAsia"/>
          <w:u w:val="single"/>
        </w:rPr>
        <w:tab/>
      </w:r>
      <w:r>
        <w:rPr>
          <w:rFonts w:hint="eastAsia"/>
        </w:rPr>
        <w:t>职务：</w:t>
      </w:r>
      <w:r>
        <w:rPr>
          <w:rFonts w:hint="eastAsia"/>
          <w:u w:val="single"/>
        </w:rPr>
        <w:tab/>
      </w:r>
    </w:p>
    <w:p w14:paraId="1C926AA3">
      <w:pPr>
        <w:tabs>
          <w:tab w:val="left" w:pos="3828"/>
          <w:tab w:val="left" w:pos="7230"/>
        </w:tabs>
        <w:snapToGrid w:val="0"/>
        <w:rPr>
          <w:rFonts w:hint="eastAsia"/>
          <w:u w:val="single"/>
        </w:rPr>
      </w:pPr>
      <w:r>
        <w:rPr>
          <w:rFonts w:hint="eastAsia"/>
        </w:rPr>
        <w:t>身份证：</w:t>
      </w:r>
      <w:r>
        <w:rPr>
          <w:rFonts w:hint="eastAsia"/>
          <w:u w:val="single"/>
        </w:rPr>
        <w:tab/>
      </w:r>
      <w:r>
        <w:rPr>
          <w:rFonts w:hint="eastAsia"/>
        </w:rPr>
        <w:t>联系方式:</w:t>
      </w:r>
      <w:r>
        <w:rPr>
          <w:rFonts w:hint="eastAsia"/>
          <w:u w:val="single"/>
        </w:rPr>
        <w:t xml:space="preserve"> </w:t>
      </w:r>
      <w:r>
        <w:rPr>
          <w:rFonts w:hint="eastAsia"/>
          <w:u w:val="single"/>
        </w:rPr>
        <w:tab/>
      </w:r>
    </w:p>
    <w:p w14:paraId="245FF37F">
      <w:pPr>
        <w:tabs>
          <w:tab w:val="left" w:pos="3828"/>
          <w:tab w:val="left" w:pos="7230"/>
        </w:tabs>
        <w:snapToGrid w:val="0"/>
        <w:rPr>
          <w:rFonts w:hint="eastAsia"/>
        </w:rPr>
      </w:pPr>
      <w:r>
        <w:rPr>
          <w:rFonts w:hint="eastAsia"/>
        </w:rPr>
        <w:t>代理人：姓名：</w:t>
      </w:r>
      <w:r>
        <w:rPr>
          <w:rFonts w:hint="eastAsia"/>
          <w:u w:val="single"/>
        </w:rPr>
        <w:tab/>
      </w:r>
      <w:r>
        <w:rPr>
          <w:rFonts w:hint="eastAsia"/>
        </w:rPr>
        <w:t>性别：</w:t>
      </w:r>
      <w:r>
        <w:rPr>
          <w:rFonts w:hint="eastAsia"/>
          <w:u w:val="single"/>
        </w:rPr>
        <w:tab/>
      </w:r>
    </w:p>
    <w:p w14:paraId="09A184B9">
      <w:pPr>
        <w:tabs>
          <w:tab w:val="left" w:pos="3828"/>
          <w:tab w:val="left" w:pos="7230"/>
        </w:tabs>
        <w:snapToGrid w:val="0"/>
        <w:rPr>
          <w:rFonts w:hint="eastAsia"/>
        </w:rPr>
      </w:pPr>
      <w:r>
        <w:rPr>
          <w:rFonts w:hint="eastAsia"/>
        </w:rPr>
        <w:t>所在单位：</w:t>
      </w:r>
      <w:r>
        <w:rPr>
          <w:rFonts w:hint="eastAsia"/>
          <w:u w:val="single"/>
        </w:rPr>
        <w:tab/>
      </w:r>
      <w:r>
        <w:rPr>
          <w:rFonts w:hint="eastAsia"/>
        </w:rPr>
        <w:t>职务：</w:t>
      </w:r>
      <w:r>
        <w:rPr>
          <w:rFonts w:hint="eastAsia"/>
          <w:u w:val="single"/>
        </w:rPr>
        <w:tab/>
      </w:r>
    </w:p>
    <w:p w14:paraId="3599173A">
      <w:pPr>
        <w:tabs>
          <w:tab w:val="left" w:pos="3828"/>
          <w:tab w:val="left" w:pos="7230"/>
        </w:tabs>
        <w:snapToGrid w:val="0"/>
        <w:rPr>
          <w:rFonts w:hint="eastAsia"/>
        </w:rPr>
      </w:pPr>
      <w:r>
        <w:rPr>
          <w:rFonts w:hint="eastAsia"/>
        </w:rPr>
        <w:t>身份证：</w:t>
      </w:r>
      <w:r>
        <w:rPr>
          <w:rFonts w:hint="eastAsia"/>
          <w:u w:val="single"/>
        </w:rPr>
        <w:tab/>
      </w:r>
      <w:r>
        <w:rPr>
          <w:rFonts w:hint="eastAsia"/>
        </w:rPr>
        <w:t>联系方式:</w:t>
      </w:r>
      <w:r>
        <w:rPr>
          <w:rFonts w:hint="eastAsia"/>
          <w:u w:val="single"/>
        </w:rPr>
        <w:tab/>
      </w:r>
    </w:p>
    <w:p w14:paraId="1C62760E">
      <w:pPr>
        <w:pStyle w:val="69"/>
        <w:ind w:right="-58" w:firstLine="480" w:firstLineChars="200"/>
        <w:rPr>
          <w:rFonts w:hint="eastAsia"/>
          <w:szCs w:val="24"/>
        </w:rPr>
      </w:pPr>
      <w:r>
        <w:rPr>
          <w:rFonts w:hint="eastAsia"/>
          <w:szCs w:val="24"/>
        </w:rPr>
        <w:t>兹委托代理人代表我单位合法地参加</w:t>
      </w:r>
      <w:r>
        <w:rPr>
          <w:rFonts w:hint="eastAsia"/>
          <w:bCs/>
          <w:szCs w:val="24"/>
          <w:u w:val="single"/>
        </w:rPr>
        <w:t>（项目编号）</w:t>
      </w:r>
      <w:r>
        <w:rPr>
          <w:rFonts w:hint="eastAsia"/>
          <w:bCs/>
          <w:szCs w:val="24"/>
        </w:rPr>
        <w:t>的</w:t>
      </w:r>
      <w:r>
        <w:rPr>
          <w:rFonts w:hint="eastAsia"/>
          <w:bCs/>
          <w:szCs w:val="24"/>
          <w:u w:val="single"/>
        </w:rPr>
        <w:t>（分包号）</w:t>
      </w:r>
      <w:r>
        <w:rPr>
          <w:rFonts w:hint="eastAsia"/>
          <w:bCs/>
          <w:szCs w:val="24"/>
        </w:rPr>
        <w:t>（若无分包则无需填写）</w:t>
      </w:r>
      <w:r>
        <w:rPr>
          <w:rFonts w:hint="eastAsia"/>
          <w:szCs w:val="24"/>
        </w:rPr>
        <w:t>采购活动，代理人有权在该活动中办理以下事宜：</w:t>
      </w:r>
    </w:p>
    <w:p w14:paraId="1773505B">
      <w:pPr>
        <w:pStyle w:val="69"/>
        <w:ind w:right="1400"/>
        <w:rPr>
          <w:rFonts w:hint="eastAsia"/>
          <w:szCs w:val="24"/>
        </w:rPr>
      </w:pPr>
      <w:r>
        <w:rPr>
          <w:rFonts w:hint="eastAsia"/>
          <w:szCs w:val="24"/>
        </w:rPr>
        <w:t>1、以我单位的名义签署竞争性磋商响应函和响应文件</w:t>
      </w:r>
    </w:p>
    <w:p w14:paraId="79D4FC3A">
      <w:pPr>
        <w:snapToGrid w:val="0"/>
        <w:rPr>
          <w:rFonts w:hint="eastAsia" w:cs="宋体"/>
        </w:rPr>
      </w:pPr>
      <w:r>
        <w:rPr>
          <w:rFonts w:hint="eastAsia" w:cs="宋体"/>
        </w:rPr>
        <w:t>2、参加磋商会议</w:t>
      </w:r>
    </w:p>
    <w:p w14:paraId="06FA19D3">
      <w:pPr>
        <w:snapToGrid w:val="0"/>
        <w:rPr>
          <w:rFonts w:hint="eastAsia" w:cs="宋体"/>
        </w:rPr>
      </w:pPr>
      <w:r>
        <w:rPr>
          <w:rFonts w:hint="eastAsia" w:cs="宋体"/>
        </w:rPr>
        <w:t>3、向磋商小组及采购代理机构澄清、解释响应文件中的疑问</w:t>
      </w:r>
    </w:p>
    <w:p w14:paraId="2D652AAB">
      <w:pPr>
        <w:snapToGrid w:val="0"/>
        <w:rPr>
          <w:rFonts w:hint="eastAsia" w:cs="宋体"/>
        </w:rPr>
      </w:pPr>
      <w:r>
        <w:rPr>
          <w:rFonts w:hint="eastAsia" w:cs="宋体"/>
        </w:rPr>
        <w:t>4、签订合同书并执行一切与本项目有关的事项。</w:t>
      </w:r>
    </w:p>
    <w:p w14:paraId="5046877C">
      <w:pPr>
        <w:snapToGrid w:val="0"/>
        <w:ind w:firstLine="480" w:firstLineChars="200"/>
        <w:rPr>
          <w:rFonts w:hint="eastAsia" w:cs="宋体"/>
        </w:rPr>
      </w:pPr>
      <w:r>
        <w:rPr>
          <w:rFonts w:hint="eastAsia" w:cs="宋体"/>
        </w:rPr>
        <w:t>委托代理人在办理上述事宜过程中以其自己的名义所签署的所有文件我均予以承认。委托代理人无转委托权。</w:t>
      </w:r>
    </w:p>
    <w:p w14:paraId="2B30FB73">
      <w:pPr>
        <w:snapToGrid w:val="0"/>
        <w:ind w:firstLine="480" w:firstLineChars="200"/>
        <w:rPr>
          <w:rFonts w:hint="eastAsia" w:cs="宋体"/>
        </w:rPr>
      </w:pPr>
      <w:r>
        <w:rPr>
          <w:rFonts w:hint="eastAsia" w:cs="宋体"/>
        </w:rPr>
        <w:t>委托期限：至上述事宜处理完毕止。</w:t>
      </w:r>
    </w:p>
    <w:p w14:paraId="5375CABB">
      <w:pPr>
        <w:snapToGrid w:val="0"/>
        <w:ind w:firstLine="480" w:firstLineChars="200"/>
        <w:rPr>
          <w:rFonts w:hint="eastAsia" w:cs="宋体"/>
        </w:rPr>
      </w:pPr>
    </w:p>
    <w:p w14:paraId="6437F024">
      <w:pPr>
        <w:snapToGrid w:val="0"/>
        <w:ind w:firstLine="480" w:firstLineChars="200"/>
        <w:rPr>
          <w:rFonts w:hint="eastAsia" w:cs="宋体"/>
        </w:rPr>
      </w:pPr>
    </w:p>
    <w:p w14:paraId="208BC3A1">
      <w:pPr>
        <w:snapToGrid w:val="0"/>
        <w:ind w:firstLine="480" w:firstLineChars="200"/>
        <w:rPr>
          <w:rFonts w:hint="eastAsia" w:cs="宋体"/>
        </w:rPr>
      </w:pPr>
    </w:p>
    <w:p w14:paraId="5923D231">
      <w:pPr>
        <w:pStyle w:val="69"/>
        <w:ind w:right="-199" w:firstLine="480"/>
        <w:jc w:val="right"/>
        <w:rPr>
          <w:rFonts w:hint="eastAsia"/>
          <w:szCs w:val="24"/>
          <w:u w:val="single"/>
        </w:rPr>
      </w:pPr>
      <w:r>
        <w:rPr>
          <w:rFonts w:hint="eastAsia"/>
          <w:szCs w:val="24"/>
        </w:rPr>
        <w:t>委托单位</w:t>
      </w:r>
      <w:r>
        <w:rPr>
          <w:rFonts w:hint="eastAsia"/>
          <w:szCs w:val="24"/>
          <w:u w:val="single"/>
        </w:rPr>
        <w:t xml:space="preserve">                  （公章）</w:t>
      </w:r>
    </w:p>
    <w:p w14:paraId="6A7E7CCD">
      <w:pPr>
        <w:pStyle w:val="69"/>
        <w:ind w:right="-199" w:firstLine="480"/>
        <w:jc w:val="right"/>
        <w:rPr>
          <w:rFonts w:hint="eastAsia"/>
          <w:szCs w:val="24"/>
          <w:u w:val="single"/>
        </w:rPr>
      </w:pPr>
      <w:r>
        <w:rPr>
          <w:rFonts w:hint="eastAsia"/>
          <w:szCs w:val="24"/>
        </w:rPr>
        <w:t>法定代表人</w:t>
      </w:r>
      <w:r>
        <w:rPr>
          <w:rFonts w:hint="eastAsia"/>
          <w:szCs w:val="24"/>
          <w:u w:val="single"/>
        </w:rPr>
        <w:t xml:space="preserve">                （签字或盖章）</w:t>
      </w:r>
    </w:p>
    <w:p w14:paraId="3E48ABAC">
      <w:pPr>
        <w:pStyle w:val="69"/>
        <w:ind w:right="-199" w:firstLine="480"/>
        <w:jc w:val="right"/>
        <w:rPr>
          <w:rFonts w:hint="eastAsia"/>
          <w:szCs w:val="24"/>
          <w:u w:val="single"/>
        </w:rPr>
      </w:pPr>
      <w:r>
        <w:rPr>
          <w:rFonts w:hint="eastAsia"/>
          <w:szCs w:val="24"/>
        </w:rPr>
        <w:t>委托代理人</w:t>
      </w:r>
      <w:r>
        <w:rPr>
          <w:rFonts w:hint="eastAsia"/>
          <w:szCs w:val="24"/>
          <w:u w:val="single"/>
        </w:rPr>
        <w:t xml:space="preserve">              （签字或盖章） </w:t>
      </w:r>
    </w:p>
    <w:p w14:paraId="15E0AEFF">
      <w:pPr>
        <w:pStyle w:val="69"/>
        <w:ind w:firstLine="480"/>
        <w:rPr>
          <w:rFonts w:hint="eastAsia"/>
          <w:szCs w:val="24"/>
        </w:rPr>
      </w:pPr>
      <w:r>
        <w:rPr>
          <w:rFonts w:hint="eastAsia"/>
          <w:szCs w:val="24"/>
        </w:rPr>
        <w:t>注：1、代理人的身份证（正反两面）</w:t>
      </w:r>
    </w:p>
    <w:p w14:paraId="28AC21D3">
      <w:pPr>
        <w:pStyle w:val="69"/>
        <w:ind w:firstLine="480" w:firstLineChars="200"/>
        <w:rPr>
          <w:rFonts w:hint="eastAsia"/>
          <w:b/>
          <w:szCs w:val="24"/>
        </w:rPr>
      </w:pPr>
      <w:r>
        <w:rPr>
          <w:rFonts w:hint="eastAsia"/>
          <w:szCs w:val="24"/>
        </w:rPr>
        <w:t>2、委托代理人为法定代表人，则本表不需填写。</w:t>
      </w:r>
    </w:p>
    <w:p w14:paraId="2763DA14">
      <w:pPr>
        <w:pStyle w:val="69"/>
        <w:ind w:right="1400" w:firstLine="480"/>
        <w:rPr>
          <w:rFonts w:hint="eastAsia"/>
          <w:szCs w:val="24"/>
        </w:rPr>
      </w:pPr>
    </w:p>
    <w:p w14:paraId="664865A4">
      <w:pPr>
        <w:pStyle w:val="69"/>
        <w:ind w:right="1400" w:firstLine="480"/>
        <w:jc w:val="right"/>
        <w:rPr>
          <w:rFonts w:hint="eastAsia"/>
          <w:szCs w:val="24"/>
        </w:rPr>
      </w:pPr>
      <w:r>
        <w:rPr>
          <w:rFonts w:hint="eastAsia"/>
          <w:szCs w:val="24"/>
        </w:rPr>
        <w:t>日    期：    年   月   日</w:t>
      </w:r>
    </w:p>
    <w:p w14:paraId="06045896">
      <w:pPr>
        <w:pStyle w:val="3"/>
      </w:pPr>
      <w:r>
        <w:br w:type="page"/>
      </w:r>
      <w:r>
        <w:rPr>
          <w:rFonts w:hint="eastAsia"/>
          <w:b w:val="0"/>
          <w:bCs w:val="0"/>
        </w:rPr>
        <w:t>5、</w:t>
      </w:r>
      <w:r>
        <w:rPr>
          <w:rFonts w:hint="eastAsia"/>
        </w:rPr>
        <w:t>联合投标协议书</w:t>
      </w:r>
    </w:p>
    <w:p w14:paraId="63D7A178">
      <w:pPr>
        <w:jc w:val="center"/>
        <w:rPr>
          <w:rFonts w:hint="eastAsia"/>
        </w:rPr>
      </w:pPr>
      <w:r>
        <w:rPr>
          <w:rFonts w:hint="eastAsia"/>
        </w:rPr>
        <w:t>（不接受联合体适用）</w:t>
      </w:r>
    </w:p>
    <w:p w14:paraId="24B08157">
      <w:pPr>
        <w:jc w:val="center"/>
        <w:rPr>
          <w:rFonts w:hint="eastAsia"/>
        </w:rPr>
      </w:pPr>
      <w:r>
        <w:rPr>
          <w:rFonts w:hint="eastAsia"/>
        </w:rPr>
        <w:t>无</w:t>
      </w:r>
    </w:p>
    <w:p w14:paraId="47D7377A">
      <w:pPr>
        <w:pStyle w:val="3"/>
      </w:pPr>
      <w:r>
        <w:rPr>
          <w:sz w:val="24"/>
          <w:szCs w:val="24"/>
        </w:rPr>
        <w:br w:type="page"/>
      </w:r>
      <w:r>
        <w:rPr>
          <w:rFonts w:hint="eastAsia"/>
          <w:b w:val="0"/>
          <w:bCs w:val="0"/>
        </w:rPr>
        <w:t>5、</w:t>
      </w:r>
      <w:r>
        <w:rPr>
          <w:rFonts w:hint="eastAsia"/>
        </w:rPr>
        <w:t>联合投标协议书</w:t>
      </w:r>
    </w:p>
    <w:p w14:paraId="4CF4DCA1">
      <w:pPr>
        <w:jc w:val="center"/>
        <w:rPr>
          <w:rFonts w:hint="eastAsia"/>
        </w:rPr>
      </w:pPr>
      <w:r>
        <w:rPr>
          <w:rFonts w:hint="eastAsia"/>
        </w:rPr>
        <w:t>（接受联合体适用）</w:t>
      </w:r>
    </w:p>
    <w:p w14:paraId="1F0C0593">
      <w:pPr>
        <w:autoSpaceDE w:val="0"/>
        <w:autoSpaceDN w:val="0"/>
        <w:adjustRightInd w:val="0"/>
        <w:ind w:firstLine="424" w:firstLineChars="177"/>
        <w:rPr>
          <w:rFonts w:hint="eastAsia" w:cs="宋体"/>
          <w:kern w:val="0"/>
        </w:rPr>
      </w:pPr>
      <w:r>
        <w:rPr>
          <w:rFonts w:hint="eastAsia" w:cs="宋体"/>
          <w:kern w:val="0"/>
        </w:rPr>
        <w:t>甲方：                                    乙方：</w:t>
      </w:r>
    </w:p>
    <w:p w14:paraId="7AB0C783">
      <w:pPr>
        <w:autoSpaceDE w:val="0"/>
        <w:autoSpaceDN w:val="0"/>
        <w:adjustRightInd w:val="0"/>
        <w:ind w:firstLine="424" w:firstLineChars="177"/>
        <w:rPr>
          <w:rFonts w:hint="eastAsia" w:cs="宋体"/>
          <w:kern w:val="0"/>
        </w:rPr>
      </w:pPr>
      <w:r>
        <w:rPr>
          <w:rFonts w:hint="eastAsia" w:cs="宋体"/>
          <w:kern w:val="0"/>
        </w:rPr>
        <w:t>各方经协商，就响应组织实施的编号为的采购活动联合进行磋商之事宜，达成如下协议：</w:t>
      </w:r>
    </w:p>
    <w:p w14:paraId="12262138">
      <w:pPr>
        <w:autoSpaceDE w:val="0"/>
        <w:autoSpaceDN w:val="0"/>
        <w:adjustRightInd w:val="0"/>
        <w:ind w:firstLine="424" w:firstLineChars="177"/>
        <w:rPr>
          <w:rFonts w:hint="eastAsia" w:cs="宋体"/>
          <w:kern w:val="0"/>
        </w:rPr>
      </w:pPr>
      <w:r>
        <w:rPr>
          <w:rFonts w:hint="eastAsia" w:cs="宋体"/>
          <w:kern w:val="0"/>
        </w:rPr>
        <w:t>一、各方一致决定，以为牵头人进行磋商，并按照采购文件的规定分别提交资格证明文件。</w:t>
      </w:r>
    </w:p>
    <w:p w14:paraId="1BF35448">
      <w:pPr>
        <w:autoSpaceDE w:val="0"/>
        <w:autoSpaceDN w:val="0"/>
        <w:adjustRightInd w:val="0"/>
        <w:ind w:firstLine="424" w:firstLineChars="177"/>
        <w:rPr>
          <w:rFonts w:hint="eastAsia" w:cs="宋体"/>
          <w:kern w:val="0"/>
        </w:rPr>
      </w:pPr>
      <w:r>
        <w:rPr>
          <w:rFonts w:hint="eastAsia" w:cs="宋体"/>
          <w:kern w:val="0"/>
        </w:rPr>
        <w:t>二、在本次磋商过程中，</w:t>
      </w:r>
      <w:r>
        <w:rPr>
          <w:rFonts w:hint="eastAsia" w:cs="宋体"/>
        </w:rPr>
        <w:t>牵头人</w:t>
      </w:r>
      <w:r>
        <w:rPr>
          <w:rFonts w:hint="eastAsia" w:cs="宋体"/>
          <w:kern w:val="0"/>
        </w:rPr>
        <w:t>的法定代表人或委托代理人根据采购文件规定及磋商内容而对采购代理机构和采购人所作的任何合法承诺，包括书面澄清及响应等均对联合体各方产生约束力。如果成交并签订合同，则联合体各方将共同履行对采购代理机构和采购人所负有的全部义务并就采购合同约定的事项对采购人承担连带责任。</w:t>
      </w:r>
    </w:p>
    <w:p w14:paraId="436ECD1A">
      <w:pPr>
        <w:autoSpaceDE w:val="0"/>
        <w:autoSpaceDN w:val="0"/>
        <w:adjustRightInd w:val="0"/>
        <w:ind w:firstLine="424" w:firstLineChars="177"/>
        <w:rPr>
          <w:rFonts w:hint="eastAsia" w:cs="宋体"/>
          <w:kern w:val="0"/>
        </w:rPr>
      </w:pPr>
      <w:r>
        <w:rPr>
          <w:rFonts w:hint="eastAsia" w:cs="宋体"/>
          <w:kern w:val="0"/>
        </w:rPr>
        <w:t>三、联合体其余各方保证对</w:t>
      </w:r>
      <w:r>
        <w:rPr>
          <w:rFonts w:hint="eastAsia" w:cs="宋体"/>
        </w:rPr>
        <w:t>牵头人</w:t>
      </w:r>
      <w:r>
        <w:rPr>
          <w:rFonts w:hint="eastAsia" w:cs="宋体"/>
          <w:kern w:val="0"/>
        </w:rPr>
        <w:t>为响应本次采购而提供的产品和服务提供全部质量保证及售后服务支持。</w:t>
      </w:r>
    </w:p>
    <w:p w14:paraId="3CA57339">
      <w:pPr>
        <w:autoSpaceDE w:val="0"/>
        <w:autoSpaceDN w:val="0"/>
        <w:adjustRightInd w:val="0"/>
        <w:ind w:firstLine="424" w:firstLineChars="177"/>
        <w:rPr>
          <w:rFonts w:hint="eastAsia" w:cs="宋体"/>
          <w:kern w:val="0"/>
        </w:rPr>
      </w:pPr>
      <w:r>
        <w:rPr>
          <w:rFonts w:hint="eastAsia" w:cs="宋体"/>
          <w:kern w:val="0"/>
        </w:rPr>
        <w:t>四、关于联合体各方工作、权利和义务的约定。</w:t>
      </w:r>
    </w:p>
    <w:p w14:paraId="0E7B5FF9">
      <w:pPr>
        <w:autoSpaceDE w:val="0"/>
        <w:autoSpaceDN w:val="0"/>
        <w:adjustRightInd w:val="0"/>
        <w:ind w:firstLine="424" w:firstLineChars="177"/>
        <w:rPr>
          <w:rFonts w:hint="eastAsia" w:cs="宋体"/>
          <w:kern w:val="0"/>
        </w:rPr>
      </w:pPr>
      <w:r>
        <w:rPr>
          <w:rFonts w:hint="eastAsia" w:cs="宋体"/>
          <w:kern w:val="0"/>
        </w:rPr>
        <w:t>五、关于联合体授权委托代理人的代理权限。</w:t>
      </w:r>
    </w:p>
    <w:p w14:paraId="35FA2B94">
      <w:pPr>
        <w:autoSpaceDE w:val="0"/>
        <w:autoSpaceDN w:val="0"/>
        <w:adjustRightInd w:val="0"/>
        <w:ind w:firstLine="424" w:firstLineChars="177"/>
        <w:rPr>
          <w:rFonts w:hint="eastAsia" w:cs="宋体"/>
          <w:kern w:val="0"/>
        </w:rPr>
      </w:pPr>
      <w:r>
        <w:rPr>
          <w:rFonts w:hint="eastAsia" w:cs="宋体"/>
          <w:kern w:val="0"/>
        </w:rPr>
        <w:t>六、有关本次联合体磋商的其他事宜：</w:t>
      </w:r>
    </w:p>
    <w:p w14:paraId="575CDC23">
      <w:pPr>
        <w:autoSpaceDE w:val="0"/>
        <w:autoSpaceDN w:val="0"/>
        <w:adjustRightInd w:val="0"/>
        <w:ind w:firstLine="424" w:firstLineChars="177"/>
        <w:rPr>
          <w:rFonts w:hint="eastAsia" w:cs="宋体"/>
          <w:kern w:val="0"/>
        </w:rPr>
      </w:pPr>
      <w:r>
        <w:rPr>
          <w:rFonts w:hint="eastAsia" w:cs="宋体"/>
          <w:kern w:val="0"/>
        </w:rPr>
        <w:t>七、本协议作为响应文件的一部分，联合体各方不得以任何形式对上述实质内容进行修改或撤销。</w:t>
      </w:r>
    </w:p>
    <w:p w14:paraId="596AE591">
      <w:pPr>
        <w:autoSpaceDE w:val="0"/>
        <w:autoSpaceDN w:val="0"/>
        <w:adjustRightInd w:val="0"/>
        <w:ind w:firstLine="424" w:firstLineChars="177"/>
        <w:rPr>
          <w:rFonts w:hint="eastAsia" w:cs="宋体"/>
          <w:kern w:val="0"/>
        </w:rPr>
      </w:pPr>
      <w:r>
        <w:rPr>
          <w:rFonts w:hint="eastAsia" w:cs="宋体"/>
          <w:kern w:val="0"/>
        </w:rPr>
        <w:t>八、本协议书于    年  月  日起双方盖章签字生效至    年  月  日终止，特此声明。</w:t>
      </w:r>
    </w:p>
    <w:p w14:paraId="5E6FFFD7">
      <w:pPr>
        <w:autoSpaceDE w:val="0"/>
        <w:autoSpaceDN w:val="0"/>
        <w:adjustRightInd w:val="0"/>
        <w:ind w:firstLine="424" w:firstLineChars="177"/>
        <w:rPr>
          <w:rFonts w:hint="eastAsia" w:cs="宋体"/>
          <w:kern w:val="0"/>
        </w:rPr>
      </w:pPr>
      <w:r>
        <w:rPr>
          <w:rFonts w:hint="eastAsia" w:cs="宋体"/>
          <w:kern w:val="0"/>
        </w:rPr>
        <w:t>供应商甲：（公章）</w:t>
      </w:r>
      <w:r>
        <w:rPr>
          <w:rFonts w:cs="宋体"/>
          <w:kern w:val="0"/>
        </w:rPr>
        <w:t xml:space="preserve"> .</w:t>
      </w:r>
    </w:p>
    <w:p w14:paraId="31EE6091">
      <w:pPr>
        <w:autoSpaceDE w:val="0"/>
        <w:autoSpaceDN w:val="0"/>
        <w:adjustRightInd w:val="0"/>
        <w:ind w:firstLine="424" w:firstLineChars="177"/>
        <w:rPr>
          <w:rFonts w:hint="eastAsia" w:cs="宋体"/>
          <w:kern w:val="0"/>
        </w:rPr>
      </w:pPr>
      <w:r>
        <w:rPr>
          <w:rFonts w:hint="eastAsia" w:cs="宋体"/>
          <w:kern w:val="0"/>
        </w:rPr>
        <w:t>法定地址：</w:t>
      </w:r>
      <w:r>
        <w:rPr>
          <w:rFonts w:cs="宋体"/>
          <w:kern w:val="0"/>
        </w:rPr>
        <w:t xml:space="preserve"> .</w:t>
      </w:r>
    </w:p>
    <w:p w14:paraId="596DCB04">
      <w:pPr>
        <w:autoSpaceDE w:val="0"/>
        <w:autoSpaceDN w:val="0"/>
        <w:adjustRightInd w:val="0"/>
        <w:ind w:firstLine="424" w:firstLineChars="177"/>
        <w:rPr>
          <w:rFonts w:hint="eastAsia" w:cs="宋体"/>
          <w:kern w:val="0"/>
        </w:rPr>
      </w:pPr>
      <w:r>
        <w:rPr>
          <w:rFonts w:hint="eastAsia" w:cs="宋体"/>
          <w:kern w:val="0"/>
        </w:rPr>
        <w:t>法定代表人（或委托代理人）：（签字或盖章）</w:t>
      </w:r>
    </w:p>
    <w:p w14:paraId="037057D0">
      <w:pPr>
        <w:autoSpaceDE w:val="0"/>
        <w:autoSpaceDN w:val="0"/>
        <w:adjustRightInd w:val="0"/>
        <w:ind w:firstLine="424" w:firstLineChars="177"/>
        <w:rPr>
          <w:rFonts w:hint="eastAsia" w:cs="宋体"/>
          <w:kern w:val="0"/>
        </w:rPr>
      </w:pPr>
      <w:r>
        <w:rPr>
          <w:rFonts w:hint="eastAsia" w:cs="宋体"/>
          <w:kern w:val="0"/>
        </w:rPr>
        <w:t>供应商乙：（公章）</w:t>
      </w:r>
      <w:r>
        <w:rPr>
          <w:rFonts w:cs="宋体"/>
          <w:kern w:val="0"/>
        </w:rPr>
        <w:t xml:space="preserve"> .</w:t>
      </w:r>
    </w:p>
    <w:p w14:paraId="6FEED607">
      <w:pPr>
        <w:autoSpaceDE w:val="0"/>
        <w:autoSpaceDN w:val="0"/>
        <w:adjustRightInd w:val="0"/>
        <w:ind w:firstLine="424" w:firstLineChars="177"/>
        <w:rPr>
          <w:rFonts w:hint="eastAsia" w:cs="宋体"/>
          <w:kern w:val="0"/>
        </w:rPr>
      </w:pPr>
      <w:r>
        <w:rPr>
          <w:rFonts w:hint="eastAsia" w:cs="宋体"/>
          <w:kern w:val="0"/>
        </w:rPr>
        <w:t>法定地址：</w:t>
      </w:r>
      <w:r>
        <w:rPr>
          <w:rFonts w:cs="宋体"/>
          <w:kern w:val="0"/>
        </w:rPr>
        <w:t xml:space="preserve"> .</w:t>
      </w:r>
    </w:p>
    <w:p w14:paraId="50D337C5">
      <w:pPr>
        <w:autoSpaceDE w:val="0"/>
        <w:autoSpaceDN w:val="0"/>
        <w:adjustRightInd w:val="0"/>
        <w:ind w:firstLine="424" w:firstLineChars="177"/>
        <w:rPr>
          <w:rFonts w:hint="eastAsia" w:cs="宋体"/>
          <w:kern w:val="0"/>
        </w:rPr>
      </w:pPr>
      <w:r>
        <w:rPr>
          <w:rFonts w:hint="eastAsia" w:cs="宋体"/>
          <w:kern w:val="0"/>
        </w:rPr>
        <w:t>法定代表人（或委托代理人）：（签字或盖章）</w:t>
      </w:r>
    </w:p>
    <w:p w14:paraId="01F69496">
      <w:pPr>
        <w:ind w:firstLine="424" w:firstLineChars="177"/>
        <w:rPr>
          <w:rFonts w:hint="eastAsia"/>
        </w:rPr>
      </w:pPr>
      <w:r>
        <w:rPr>
          <w:rFonts w:hint="eastAsia" w:cs="宋体"/>
        </w:rPr>
        <w:t>日 期：</w:t>
      </w:r>
    </w:p>
    <w:p w14:paraId="7B41B203">
      <w:pPr>
        <w:pStyle w:val="3"/>
      </w:pPr>
      <w:r>
        <w:br w:type="page"/>
      </w:r>
      <w:r>
        <w:rPr>
          <w:rFonts w:hint="eastAsia"/>
        </w:rPr>
        <w:t>6、供应商诚信承诺书</w:t>
      </w:r>
    </w:p>
    <w:p w14:paraId="5036A6FB">
      <w:pPr>
        <w:pStyle w:val="77"/>
        <w:rPr>
          <w:rFonts w:hint="eastAsia"/>
        </w:rPr>
      </w:pPr>
      <w:r>
        <w:rPr>
          <w:rFonts w:hint="eastAsia"/>
        </w:rPr>
        <w:t>我单位在参加</w:t>
      </w:r>
      <w:r>
        <w:rPr>
          <w:rFonts w:hint="eastAsia"/>
          <w:u w:val="single"/>
        </w:rPr>
        <w:t>（项目名称）</w:t>
      </w:r>
      <w:r>
        <w:rPr>
          <w:rFonts w:hint="eastAsia"/>
        </w:rPr>
        <w:t>项目</w:t>
      </w:r>
      <w:r>
        <w:rPr>
          <w:rFonts w:hint="eastAsia"/>
          <w:u w:val="single"/>
        </w:rPr>
        <w:t>（分包号）</w:t>
      </w:r>
      <w:r>
        <w:rPr>
          <w:rFonts w:hint="eastAsia"/>
        </w:rPr>
        <w:t>（若无分包则无需填写）的采购活动中，郑重承诺如下：</w:t>
      </w:r>
    </w:p>
    <w:p w14:paraId="7C6F000F">
      <w:pPr>
        <w:pStyle w:val="77"/>
        <w:rPr>
          <w:rFonts w:hint="eastAsia"/>
        </w:rPr>
      </w:pPr>
      <w:r>
        <w:rPr>
          <w:rFonts w:hint="eastAsia"/>
        </w:rPr>
        <w:t>1、我方在此声明，本次采购活动中申报的所有资料都是真实、准确完整的，如发现提供虚假资料，或与事实不符而导致无效响应，甚至造成任何法律和经济责任，完全由我方负责；</w:t>
      </w:r>
    </w:p>
    <w:p w14:paraId="66D1ABB5">
      <w:pPr>
        <w:pStyle w:val="77"/>
        <w:rPr>
          <w:rFonts w:hint="eastAsia"/>
        </w:rPr>
      </w:pPr>
      <w:r>
        <w:rPr>
          <w:rFonts w:hint="eastAsia"/>
        </w:rPr>
        <w:t>2、我方在本次采购活动中绝无资质挂靠、串标、围标情形，若经贵方查出，立即取消我方投标资格并承担相应的法律责任；</w:t>
      </w:r>
    </w:p>
    <w:p w14:paraId="5EB6A8A9">
      <w:pPr>
        <w:pStyle w:val="77"/>
        <w:rPr>
          <w:rFonts w:hint="eastAsia"/>
        </w:rPr>
      </w:pPr>
      <w:r>
        <w:rPr>
          <w:rFonts w:hint="eastAsia"/>
        </w:rPr>
        <w:t>3、我方在以往的采购活动中，无重大违法、违规的不良记录；我方人员针对维护项目没有重大违法记录；</w:t>
      </w:r>
    </w:p>
    <w:p w14:paraId="0CD2EF64">
      <w:pPr>
        <w:pStyle w:val="77"/>
        <w:rPr>
          <w:rFonts w:hint="eastAsia"/>
        </w:rPr>
      </w:pPr>
      <w:r>
        <w:rPr>
          <w:rFonts w:hint="eastAsia"/>
        </w:rPr>
        <w:t>4、我方未被地市级及其以上行政主管部门做出取消投标资格的处罚且该处罚在有效期内的；</w:t>
      </w:r>
    </w:p>
    <w:p w14:paraId="2759F980">
      <w:pPr>
        <w:pStyle w:val="77"/>
        <w:rPr>
          <w:rFonts w:hint="eastAsia"/>
        </w:rPr>
      </w:pPr>
      <w:r>
        <w:rPr>
          <w:rFonts w:hint="eastAsia"/>
        </w:rPr>
        <w:t>5、我方一旦成交，将严格按照采购文件中所承诺的报价、质量、合同履行期限、措施、项目负责人等内容组织实施；</w:t>
      </w:r>
    </w:p>
    <w:p w14:paraId="4FD613C4">
      <w:pPr>
        <w:pStyle w:val="77"/>
        <w:rPr>
          <w:rFonts w:hint="eastAsia"/>
        </w:rPr>
      </w:pPr>
      <w:r>
        <w:rPr>
          <w:rFonts w:hint="eastAsia"/>
        </w:rPr>
        <w:t>6、我方一旦成交，将按规定及时与采购人签订合同。</w:t>
      </w:r>
    </w:p>
    <w:p w14:paraId="5DC62DAA">
      <w:pPr>
        <w:pStyle w:val="77"/>
        <w:rPr>
          <w:rFonts w:hint="eastAsia"/>
        </w:rPr>
      </w:pPr>
    </w:p>
    <w:p w14:paraId="67B19B62">
      <w:pPr>
        <w:pStyle w:val="77"/>
        <w:rPr>
          <w:rFonts w:hint="eastAsia"/>
        </w:rPr>
      </w:pPr>
    </w:p>
    <w:p w14:paraId="56875C5A">
      <w:pPr>
        <w:pStyle w:val="77"/>
        <w:rPr>
          <w:rFonts w:hint="eastAsia"/>
        </w:rPr>
      </w:pPr>
    </w:p>
    <w:p w14:paraId="73422F68">
      <w:pPr>
        <w:pStyle w:val="77"/>
        <w:wordWrap w:val="0"/>
        <w:jc w:val="right"/>
        <w:rPr>
          <w:rFonts w:hint="eastAsia"/>
        </w:rPr>
      </w:pPr>
      <w:r>
        <w:rPr>
          <w:rFonts w:hint="eastAsia"/>
        </w:rPr>
        <w:t>供应商名称：（盖公章）</w:t>
      </w:r>
    </w:p>
    <w:p w14:paraId="65D82B97">
      <w:pPr>
        <w:pStyle w:val="77"/>
        <w:wordWrap w:val="0"/>
        <w:jc w:val="right"/>
        <w:rPr>
          <w:rFonts w:hint="eastAsia"/>
        </w:rPr>
      </w:pPr>
      <w:r>
        <w:rPr>
          <w:rFonts w:hint="eastAsia"/>
        </w:rPr>
        <w:t>法定代表人（或委托代理人）：（签字或盖章）</w:t>
      </w:r>
    </w:p>
    <w:p w14:paraId="49A9F2DF">
      <w:pPr>
        <w:pStyle w:val="77"/>
        <w:wordWrap w:val="0"/>
        <w:jc w:val="right"/>
        <w:rPr>
          <w:rFonts w:hint="eastAsia"/>
          <w:b/>
        </w:rPr>
      </w:pPr>
      <w:r>
        <w:rPr>
          <w:rFonts w:hint="eastAsia"/>
        </w:rPr>
        <w:t>日期：    年   月   日</w:t>
      </w:r>
    </w:p>
    <w:p w14:paraId="1FBCDABE">
      <w:pPr>
        <w:pStyle w:val="3"/>
      </w:pPr>
      <w:r>
        <w:rPr>
          <w:szCs w:val="28"/>
        </w:rPr>
        <w:br w:type="page"/>
      </w:r>
      <w:r>
        <w:rPr>
          <w:rFonts w:hint="eastAsia"/>
        </w:rPr>
        <w:t>7、供应商基本情况</w:t>
      </w:r>
    </w:p>
    <w:tbl>
      <w:tblPr>
        <w:tblStyle w:val="28"/>
        <w:tblW w:w="903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82"/>
        <w:gridCol w:w="836"/>
        <w:gridCol w:w="353"/>
        <w:gridCol w:w="1348"/>
        <w:gridCol w:w="529"/>
        <w:gridCol w:w="747"/>
        <w:gridCol w:w="195"/>
        <w:gridCol w:w="797"/>
        <w:gridCol w:w="425"/>
        <w:gridCol w:w="26"/>
        <w:gridCol w:w="825"/>
        <w:gridCol w:w="1270"/>
      </w:tblGrid>
      <w:tr w14:paraId="14B08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2" w:type="dxa"/>
            <w:vAlign w:val="center"/>
          </w:tcPr>
          <w:p w14:paraId="0EFBF8FF">
            <w:pPr>
              <w:jc w:val="center"/>
              <w:rPr>
                <w:rFonts w:hint="eastAsia" w:cs="宋体"/>
              </w:rPr>
            </w:pPr>
            <w:r>
              <w:rPr>
                <w:rFonts w:hint="eastAsia" w:cs="宋体"/>
              </w:rPr>
              <w:t>供应商名称</w:t>
            </w:r>
          </w:p>
        </w:tc>
        <w:tc>
          <w:tcPr>
            <w:tcW w:w="7351" w:type="dxa"/>
            <w:gridSpan w:val="11"/>
            <w:vAlign w:val="center"/>
          </w:tcPr>
          <w:p w14:paraId="46C2F171">
            <w:pPr>
              <w:jc w:val="center"/>
              <w:rPr>
                <w:rFonts w:hint="eastAsia" w:cs="宋体"/>
              </w:rPr>
            </w:pPr>
          </w:p>
        </w:tc>
      </w:tr>
      <w:tr w14:paraId="21F3A2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1682" w:type="dxa"/>
            <w:vAlign w:val="center"/>
          </w:tcPr>
          <w:p w14:paraId="77761B98">
            <w:pPr>
              <w:jc w:val="center"/>
              <w:rPr>
                <w:rFonts w:hint="eastAsia" w:cs="宋体"/>
              </w:rPr>
            </w:pPr>
            <w:r>
              <w:rPr>
                <w:rFonts w:hint="eastAsia" w:cs="宋体"/>
              </w:rPr>
              <w:t>注册地址</w:t>
            </w:r>
          </w:p>
        </w:tc>
        <w:tc>
          <w:tcPr>
            <w:tcW w:w="4008" w:type="dxa"/>
            <w:gridSpan w:val="6"/>
            <w:vAlign w:val="center"/>
          </w:tcPr>
          <w:p w14:paraId="0F271ECB">
            <w:pPr>
              <w:jc w:val="center"/>
              <w:rPr>
                <w:rFonts w:hint="eastAsia" w:cs="宋体"/>
              </w:rPr>
            </w:pPr>
          </w:p>
        </w:tc>
        <w:tc>
          <w:tcPr>
            <w:tcW w:w="1248" w:type="dxa"/>
            <w:gridSpan w:val="3"/>
            <w:vAlign w:val="center"/>
          </w:tcPr>
          <w:p w14:paraId="0D7553F5">
            <w:pPr>
              <w:widowControl/>
              <w:rPr>
                <w:rFonts w:hint="eastAsia" w:cs="宋体"/>
              </w:rPr>
            </w:pPr>
            <w:r>
              <w:rPr>
                <w:rFonts w:hint="eastAsia" w:cs="宋体"/>
                <w:kern w:val="0"/>
              </w:rPr>
              <w:t>邮政编码</w:t>
            </w:r>
          </w:p>
        </w:tc>
        <w:tc>
          <w:tcPr>
            <w:tcW w:w="2095" w:type="dxa"/>
            <w:gridSpan w:val="2"/>
            <w:vAlign w:val="center"/>
          </w:tcPr>
          <w:p w14:paraId="39151AEA">
            <w:pPr>
              <w:jc w:val="center"/>
              <w:rPr>
                <w:rFonts w:hint="eastAsia" w:cs="宋体"/>
              </w:rPr>
            </w:pPr>
          </w:p>
        </w:tc>
      </w:tr>
      <w:tr w14:paraId="5F2B5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2" w:type="dxa"/>
            <w:vMerge w:val="restart"/>
            <w:vAlign w:val="center"/>
          </w:tcPr>
          <w:p w14:paraId="29C14438">
            <w:pPr>
              <w:jc w:val="center"/>
              <w:rPr>
                <w:rFonts w:hint="eastAsia" w:cs="宋体"/>
              </w:rPr>
            </w:pPr>
            <w:r>
              <w:rPr>
                <w:rFonts w:hint="eastAsia" w:cs="宋体"/>
              </w:rPr>
              <w:t>联系方式</w:t>
            </w:r>
          </w:p>
        </w:tc>
        <w:tc>
          <w:tcPr>
            <w:tcW w:w="1189" w:type="dxa"/>
            <w:gridSpan w:val="2"/>
            <w:vAlign w:val="center"/>
          </w:tcPr>
          <w:p w14:paraId="1993A215">
            <w:pPr>
              <w:jc w:val="center"/>
              <w:rPr>
                <w:rFonts w:hint="eastAsia" w:cs="宋体"/>
              </w:rPr>
            </w:pPr>
            <w:r>
              <w:rPr>
                <w:rFonts w:hint="eastAsia" w:cs="宋体"/>
              </w:rPr>
              <w:t>联系人</w:t>
            </w:r>
          </w:p>
        </w:tc>
        <w:tc>
          <w:tcPr>
            <w:tcW w:w="2819" w:type="dxa"/>
            <w:gridSpan w:val="4"/>
            <w:vAlign w:val="center"/>
          </w:tcPr>
          <w:p w14:paraId="24C6419B">
            <w:pPr>
              <w:jc w:val="center"/>
              <w:rPr>
                <w:rFonts w:hint="eastAsia" w:cs="宋体"/>
              </w:rPr>
            </w:pPr>
          </w:p>
        </w:tc>
        <w:tc>
          <w:tcPr>
            <w:tcW w:w="1248" w:type="dxa"/>
            <w:gridSpan w:val="3"/>
            <w:vAlign w:val="center"/>
          </w:tcPr>
          <w:p w14:paraId="14037D54">
            <w:pPr>
              <w:jc w:val="center"/>
              <w:rPr>
                <w:rFonts w:hint="eastAsia" w:cs="宋体"/>
              </w:rPr>
            </w:pPr>
            <w:r>
              <w:rPr>
                <w:rFonts w:hint="eastAsia" w:cs="宋体"/>
              </w:rPr>
              <w:t>电  话</w:t>
            </w:r>
          </w:p>
        </w:tc>
        <w:tc>
          <w:tcPr>
            <w:tcW w:w="2095" w:type="dxa"/>
            <w:gridSpan w:val="2"/>
            <w:vAlign w:val="center"/>
          </w:tcPr>
          <w:p w14:paraId="49556E6A">
            <w:pPr>
              <w:jc w:val="center"/>
              <w:rPr>
                <w:rFonts w:hint="eastAsia" w:cs="宋体"/>
              </w:rPr>
            </w:pPr>
          </w:p>
        </w:tc>
      </w:tr>
      <w:tr w14:paraId="3DCA3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2" w:type="dxa"/>
            <w:vMerge w:val="continue"/>
            <w:vAlign w:val="center"/>
          </w:tcPr>
          <w:p w14:paraId="330A7A5F">
            <w:pPr>
              <w:jc w:val="center"/>
              <w:rPr>
                <w:rFonts w:hint="eastAsia" w:cs="宋体"/>
              </w:rPr>
            </w:pPr>
          </w:p>
        </w:tc>
        <w:tc>
          <w:tcPr>
            <w:tcW w:w="1189" w:type="dxa"/>
            <w:gridSpan w:val="2"/>
            <w:vAlign w:val="center"/>
          </w:tcPr>
          <w:p w14:paraId="6A702CA0">
            <w:pPr>
              <w:jc w:val="center"/>
              <w:rPr>
                <w:rFonts w:hint="eastAsia" w:cs="宋体"/>
              </w:rPr>
            </w:pPr>
            <w:r>
              <w:rPr>
                <w:rFonts w:hint="eastAsia" w:cs="宋体"/>
              </w:rPr>
              <w:t>传真</w:t>
            </w:r>
          </w:p>
          <w:p w14:paraId="572313CA">
            <w:pPr>
              <w:pStyle w:val="19"/>
              <w:rPr>
                <w:rFonts w:hint="eastAsia" w:cs="Calibri"/>
              </w:rPr>
            </w:pPr>
            <w:r>
              <w:rPr>
                <w:rFonts w:hint="eastAsia" w:cs="宋体"/>
                <w:sz w:val="24"/>
                <w:szCs w:val="24"/>
              </w:rPr>
              <w:t>（如有）</w:t>
            </w:r>
          </w:p>
        </w:tc>
        <w:tc>
          <w:tcPr>
            <w:tcW w:w="2819" w:type="dxa"/>
            <w:gridSpan w:val="4"/>
            <w:vAlign w:val="center"/>
          </w:tcPr>
          <w:p w14:paraId="1F629EFD">
            <w:pPr>
              <w:jc w:val="center"/>
              <w:rPr>
                <w:rFonts w:hint="eastAsia" w:cs="宋体"/>
              </w:rPr>
            </w:pPr>
          </w:p>
        </w:tc>
        <w:tc>
          <w:tcPr>
            <w:tcW w:w="1248" w:type="dxa"/>
            <w:gridSpan w:val="3"/>
            <w:vAlign w:val="center"/>
          </w:tcPr>
          <w:p w14:paraId="4582BCAD">
            <w:pPr>
              <w:widowControl/>
              <w:jc w:val="center"/>
              <w:rPr>
                <w:rFonts w:hint="eastAsia" w:cs="宋体"/>
                <w:kern w:val="0"/>
              </w:rPr>
            </w:pPr>
            <w:r>
              <w:rPr>
                <w:rFonts w:hint="eastAsia" w:cs="宋体"/>
                <w:kern w:val="0"/>
              </w:rPr>
              <w:t>网  址</w:t>
            </w:r>
          </w:p>
          <w:p w14:paraId="7312B1B5">
            <w:pPr>
              <w:pStyle w:val="19"/>
              <w:rPr>
                <w:rFonts w:hint="eastAsia" w:cs="Calibri"/>
              </w:rPr>
            </w:pPr>
            <w:r>
              <w:rPr>
                <w:rFonts w:hint="eastAsia" w:cs="宋体"/>
                <w:sz w:val="24"/>
                <w:szCs w:val="24"/>
              </w:rPr>
              <w:t>（如有）</w:t>
            </w:r>
          </w:p>
        </w:tc>
        <w:tc>
          <w:tcPr>
            <w:tcW w:w="2095" w:type="dxa"/>
            <w:gridSpan w:val="2"/>
            <w:vAlign w:val="center"/>
          </w:tcPr>
          <w:p w14:paraId="19C67A3E">
            <w:pPr>
              <w:jc w:val="center"/>
              <w:rPr>
                <w:rFonts w:hint="eastAsia" w:cs="宋体"/>
              </w:rPr>
            </w:pPr>
          </w:p>
        </w:tc>
      </w:tr>
      <w:tr w14:paraId="39A095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2" w:type="dxa"/>
            <w:vAlign w:val="center"/>
          </w:tcPr>
          <w:p w14:paraId="00021EAE">
            <w:pPr>
              <w:widowControl/>
              <w:jc w:val="center"/>
              <w:rPr>
                <w:rFonts w:hint="eastAsia" w:cs="宋体"/>
              </w:rPr>
            </w:pPr>
            <w:r>
              <w:rPr>
                <w:rFonts w:hint="eastAsia" w:cs="宋体"/>
                <w:kern w:val="0"/>
              </w:rPr>
              <w:t>组织结构</w:t>
            </w:r>
          </w:p>
        </w:tc>
        <w:tc>
          <w:tcPr>
            <w:tcW w:w="7351" w:type="dxa"/>
            <w:gridSpan w:val="11"/>
            <w:vAlign w:val="center"/>
          </w:tcPr>
          <w:p w14:paraId="5AFCD7D0">
            <w:pPr>
              <w:widowControl/>
              <w:rPr>
                <w:rFonts w:hint="eastAsia" w:cs="宋体"/>
              </w:rPr>
            </w:pPr>
            <w:r>
              <w:rPr>
                <w:rFonts w:hint="eastAsia" w:cs="宋体"/>
                <w:kern w:val="0"/>
              </w:rPr>
              <w:t>附后（如有）</w:t>
            </w:r>
          </w:p>
        </w:tc>
      </w:tr>
      <w:tr w14:paraId="476843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2" w:type="dxa"/>
            <w:vAlign w:val="center"/>
          </w:tcPr>
          <w:p w14:paraId="7CB85AA8">
            <w:pPr>
              <w:jc w:val="center"/>
              <w:rPr>
                <w:rFonts w:hint="eastAsia" w:cs="宋体"/>
              </w:rPr>
            </w:pPr>
            <w:r>
              <w:rPr>
                <w:rFonts w:hint="eastAsia" w:cs="宋体"/>
              </w:rPr>
              <w:t>法定代表人</w:t>
            </w:r>
          </w:p>
        </w:tc>
        <w:tc>
          <w:tcPr>
            <w:tcW w:w="836" w:type="dxa"/>
            <w:vAlign w:val="center"/>
          </w:tcPr>
          <w:p w14:paraId="7BE2962B">
            <w:pPr>
              <w:jc w:val="center"/>
              <w:rPr>
                <w:rFonts w:hint="eastAsia" w:cs="宋体"/>
              </w:rPr>
            </w:pPr>
            <w:r>
              <w:rPr>
                <w:rFonts w:hint="eastAsia" w:cs="宋体"/>
              </w:rPr>
              <w:t>姓名</w:t>
            </w:r>
          </w:p>
        </w:tc>
        <w:tc>
          <w:tcPr>
            <w:tcW w:w="1701" w:type="dxa"/>
            <w:gridSpan w:val="2"/>
            <w:vAlign w:val="center"/>
          </w:tcPr>
          <w:p w14:paraId="24323FF2">
            <w:pPr>
              <w:jc w:val="center"/>
              <w:rPr>
                <w:rFonts w:hint="eastAsia" w:cs="宋体"/>
              </w:rPr>
            </w:pPr>
          </w:p>
        </w:tc>
        <w:tc>
          <w:tcPr>
            <w:tcW w:w="1276" w:type="dxa"/>
            <w:gridSpan w:val="2"/>
            <w:vAlign w:val="center"/>
          </w:tcPr>
          <w:p w14:paraId="2C493A46">
            <w:pPr>
              <w:jc w:val="center"/>
              <w:rPr>
                <w:rFonts w:hint="eastAsia" w:cs="宋体"/>
              </w:rPr>
            </w:pPr>
            <w:r>
              <w:rPr>
                <w:rFonts w:hint="eastAsia" w:cs="宋体"/>
              </w:rPr>
              <w:t>技术职称</w:t>
            </w:r>
          </w:p>
        </w:tc>
        <w:tc>
          <w:tcPr>
            <w:tcW w:w="1417" w:type="dxa"/>
            <w:gridSpan w:val="3"/>
            <w:vAlign w:val="center"/>
          </w:tcPr>
          <w:p w14:paraId="0EDF9B0A">
            <w:pPr>
              <w:jc w:val="center"/>
              <w:rPr>
                <w:rFonts w:hint="eastAsia" w:cs="宋体"/>
              </w:rPr>
            </w:pPr>
          </w:p>
        </w:tc>
        <w:tc>
          <w:tcPr>
            <w:tcW w:w="851" w:type="dxa"/>
            <w:gridSpan w:val="2"/>
            <w:vAlign w:val="center"/>
          </w:tcPr>
          <w:p w14:paraId="72476B02">
            <w:pPr>
              <w:jc w:val="center"/>
              <w:rPr>
                <w:rFonts w:hint="eastAsia" w:cs="宋体"/>
              </w:rPr>
            </w:pPr>
            <w:r>
              <w:rPr>
                <w:rFonts w:hint="eastAsia" w:cs="宋体"/>
              </w:rPr>
              <w:t>电话</w:t>
            </w:r>
          </w:p>
        </w:tc>
        <w:tc>
          <w:tcPr>
            <w:tcW w:w="1270" w:type="dxa"/>
            <w:vAlign w:val="center"/>
          </w:tcPr>
          <w:p w14:paraId="063FF5AF">
            <w:pPr>
              <w:jc w:val="center"/>
              <w:rPr>
                <w:rFonts w:hint="eastAsia" w:cs="宋体"/>
              </w:rPr>
            </w:pPr>
          </w:p>
        </w:tc>
      </w:tr>
      <w:tr w14:paraId="3F75A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6" w:hRule="atLeast"/>
        </w:trPr>
        <w:tc>
          <w:tcPr>
            <w:tcW w:w="1682" w:type="dxa"/>
            <w:vAlign w:val="center"/>
          </w:tcPr>
          <w:p w14:paraId="764C197C">
            <w:pPr>
              <w:jc w:val="center"/>
              <w:rPr>
                <w:rFonts w:hint="eastAsia" w:cs="宋体"/>
              </w:rPr>
            </w:pPr>
            <w:r>
              <w:rPr>
                <w:rFonts w:hint="eastAsia" w:cs="宋体"/>
              </w:rPr>
              <w:t>技术负责人</w:t>
            </w:r>
          </w:p>
        </w:tc>
        <w:tc>
          <w:tcPr>
            <w:tcW w:w="836" w:type="dxa"/>
            <w:vAlign w:val="center"/>
          </w:tcPr>
          <w:p w14:paraId="59FBA504">
            <w:pPr>
              <w:jc w:val="center"/>
              <w:rPr>
                <w:rFonts w:hint="eastAsia" w:cs="宋体"/>
              </w:rPr>
            </w:pPr>
            <w:r>
              <w:rPr>
                <w:rFonts w:hint="eastAsia" w:cs="宋体"/>
              </w:rPr>
              <w:t>姓名</w:t>
            </w:r>
          </w:p>
        </w:tc>
        <w:tc>
          <w:tcPr>
            <w:tcW w:w="1701" w:type="dxa"/>
            <w:gridSpan w:val="2"/>
            <w:vAlign w:val="center"/>
          </w:tcPr>
          <w:p w14:paraId="7483F777">
            <w:pPr>
              <w:jc w:val="center"/>
              <w:rPr>
                <w:rFonts w:hint="eastAsia" w:cs="宋体"/>
              </w:rPr>
            </w:pPr>
          </w:p>
        </w:tc>
        <w:tc>
          <w:tcPr>
            <w:tcW w:w="1276" w:type="dxa"/>
            <w:gridSpan w:val="2"/>
            <w:vAlign w:val="center"/>
          </w:tcPr>
          <w:p w14:paraId="4959701E">
            <w:pPr>
              <w:jc w:val="center"/>
              <w:rPr>
                <w:rFonts w:hint="eastAsia" w:cs="宋体"/>
              </w:rPr>
            </w:pPr>
            <w:r>
              <w:rPr>
                <w:rFonts w:hint="eastAsia" w:cs="宋体"/>
              </w:rPr>
              <w:t>技术职称</w:t>
            </w:r>
          </w:p>
        </w:tc>
        <w:tc>
          <w:tcPr>
            <w:tcW w:w="1417" w:type="dxa"/>
            <w:gridSpan w:val="3"/>
            <w:vAlign w:val="center"/>
          </w:tcPr>
          <w:p w14:paraId="5EFDEDFD">
            <w:pPr>
              <w:jc w:val="center"/>
              <w:rPr>
                <w:rFonts w:hint="eastAsia" w:cs="宋体"/>
              </w:rPr>
            </w:pPr>
          </w:p>
        </w:tc>
        <w:tc>
          <w:tcPr>
            <w:tcW w:w="851" w:type="dxa"/>
            <w:gridSpan w:val="2"/>
            <w:vAlign w:val="center"/>
          </w:tcPr>
          <w:p w14:paraId="23F5C1DF">
            <w:pPr>
              <w:jc w:val="center"/>
              <w:rPr>
                <w:rFonts w:hint="eastAsia" w:cs="宋体"/>
              </w:rPr>
            </w:pPr>
            <w:r>
              <w:rPr>
                <w:rFonts w:hint="eastAsia" w:cs="宋体"/>
              </w:rPr>
              <w:t>电话</w:t>
            </w:r>
          </w:p>
        </w:tc>
        <w:tc>
          <w:tcPr>
            <w:tcW w:w="1270" w:type="dxa"/>
            <w:vAlign w:val="center"/>
          </w:tcPr>
          <w:p w14:paraId="4926DC66">
            <w:pPr>
              <w:jc w:val="center"/>
              <w:rPr>
                <w:rFonts w:hint="eastAsia" w:cs="宋体"/>
              </w:rPr>
            </w:pPr>
          </w:p>
        </w:tc>
      </w:tr>
      <w:tr w14:paraId="4F583A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682" w:type="dxa"/>
            <w:vAlign w:val="center"/>
          </w:tcPr>
          <w:p w14:paraId="16AD7D3A">
            <w:pPr>
              <w:widowControl/>
              <w:jc w:val="center"/>
              <w:rPr>
                <w:rFonts w:hint="eastAsia" w:cs="宋体"/>
              </w:rPr>
            </w:pPr>
            <w:r>
              <w:rPr>
                <w:rFonts w:hint="eastAsia" w:cs="宋体"/>
                <w:kern w:val="0"/>
              </w:rPr>
              <w:t>成立时间</w:t>
            </w:r>
          </w:p>
        </w:tc>
        <w:tc>
          <w:tcPr>
            <w:tcW w:w="2537" w:type="dxa"/>
            <w:gridSpan w:val="3"/>
            <w:vAlign w:val="center"/>
          </w:tcPr>
          <w:p w14:paraId="15659AF7">
            <w:pPr>
              <w:jc w:val="center"/>
              <w:rPr>
                <w:rFonts w:hint="eastAsia" w:cs="宋体"/>
              </w:rPr>
            </w:pPr>
          </w:p>
        </w:tc>
        <w:tc>
          <w:tcPr>
            <w:tcW w:w="4814" w:type="dxa"/>
            <w:gridSpan w:val="8"/>
            <w:vAlign w:val="center"/>
          </w:tcPr>
          <w:p w14:paraId="3D9D996B">
            <w:pPr>
              <w:widowControl/>
              <w:rPr>
                <w:rFonts w:hint="eastAsia" w:cs="宋体"/>
              </w:rPr>
            </w:pPr>
            <w:r>
              <w:rPr>
                <w:rFonts w:hint="eastAsia" w:cs="宋体"/>
                <w:kern w:val="0"/>
              </w:rPr>
              <w:t>员工总人数：</w:t>
            </w:r>
          </w:p>
        </w:tc>
      </w:tr>
      <w:tr w14:paraId="17D3F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682" w:type="dxa"/>
            <w:vAlign w:val="center"/>
          </w:tcPr>
          <w:p w14:paraId="2987A63B">
            <w:pPr>
              <w:widowControl/>
              <w:jc w:val="center"/>
              <w:rPr>
                <w:rFonts w:hint="eastAsia" w:cs="宋体"/>
                <w:kern w:val="0"/>
              </w:rPr>
            </w:pPr>
            <w:r>
              <w:rPr>
                <w:rFonts w:hint="eastAsia" w:cs="宋体"/>
                <w:kern w:val="0"/>
              </w:rPr>
              <w:t>营业执照号</w:t>
            </w:r>
          </w:p>
        </w:tc>
        <w:tc>
          <w:tcPr>
            <w:tcW w:w="2537" w:type="dxa"/>
            <w:gridSpan w:val="3"/>
            <w:vAlign w:val="center"/>
          </w:tcPr>
          <w:p w14:paraId="75038185">
            <w:pPr>
              <w:jc w:val="center"/>
              <w:rPr>
                <w:rFonts w:hint="eastAsia" w:cs="宋体"/>
              </w:rPr>
            </w:pPr>
          </w:p>
        </w:tc>
        <w:tc>
          <w:tcPr>
            <w:tcW w:w="529" w:type="dxa"/>
            <w:vMerge w:val="restart"/>
            <w:vAlign w:val="center"/>
          </w:tcPr>
          <w:p w14:paraId="6675836F">
            <w:pPr>
              <w:widowControl/>
              <w:rPr>
                <w:rFonts w:hint="eastAsia" w:cs="宋体"/>
                <w:kern w:val="0"/>
              </w:rPr>
            </w:pPr>
            <w:r>
              <w:rPr>
                <w:rFonts w:hint="eastAsia" w:cs="宋体"/>
                <w:kern w:val="0"/>
              </w:rPr>
              <w:t>其中</w:t>
            </w:r>
          </w:p>
        </w:tc>
        <w:tc>
          <w:tcPr>
            <w:tcW w:w="1739" w:type="dxa"/>
            <w:gridSpan w:val="3"/>
            <w:vAlign w:val="center"/>
          </w:tcPr>
          <w:p w14:paraId="24F47DE6">
            <w:pPr>
              <w:widowControl/>
              <w:rPr>
                <w:rFonts w:hint="eastAsia" w:cs="宋体"/>
                <w:kern w:val="0"/>
              </w:rPr>
            </w:pPr>
            <w:r>
              <w:rPr>
                <w:rFonts w:hint="eastAsia" w:cs="宋体"/>
                <w:kern w:val="0"/>
              </w:rPr>
              <w:t>高级职称人员</w:t>
            </w:r>
          </w:p>
        </w:tc>
        <w:tc>
          <w:tcPr>
            <w:tcW w:w="2546" w:type="dxa"/>
            <w:gridSpan w:val="4"/>
            <w:vAlign w:val="center"/>
          </w:tcPr>
          <w:p w14:paraId="202E2425">
            <w:pPr>
              <w:widowControl/>
              <w:rPr>
                <w:rFonts w:hint="eastAsia" w:cs="宋体"/>
                <w:kern w:val="0"/>
              </w:rPr>
            </w:pPr>
          </w:p>
        </w:tc>
      </w:tr>
      <w:tr w14:paraId="32D99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682" w:type="dxa"/>
            <w:vAlign w:val="center"/>
          </w:tcPr>
          <w:p w14:paraId="13BBCA33">
            <w:pPr>
              <w:widowControl/>
              <w:jc w:val="center"/>
              <w:rPr>
                <w:rFonts w:hint="eastAsia" w:cs="宋体"/>
                <w:kern w:val="0"/>
              </w:rPr>
            </w:pPr>
            <w:r>
              <w:rPr>
                <w:rFonts w:hint="eastAsia" w:cs="宋体"/>
                <w:kern w:val="0"/>
              </w:rPr>
              <w:t>注册资金</w:t>
            </w:r>
          </w:p>
        </w:tc>
        <w:tc>
          <w:tcPr>
            <w:tcW w:w="2537" w:type="dxa"/>
            <w:gridSpan w:val="3"/>
            <w:vAlign w:val="center"/>
          </w:tcPr>
          <w:p w14:paraId="14C45C5D">
            <w:pPr>
              <w:jc w:val="center"/>
              <w:rPr>
                <w:rFonts w:hint="eastAsia" w:cs="宋体"/>
              </w:rPr>
            </w:pPr>
          </w:p>
        </w:tc>
        <w:tc>
          <w:tcPr>
            <w:tcW w:w="529" w:type="dxa"/>
            <w:vMerge w:val="continue"/>
            <w:vAlign w:val="center"/>
          </w:tcPr>
          <w:p w14:paraId="21EE7226">
            <w:pPr>
              <w:widowControl/>
              <w:rPr>
                <w:rFonts w:hint="eastAsia" w:cs="宋体"/>
                <w:kern w:val="0"/>
              </w:rPr>
            </w:pPr>
          </w:p>
        </w:tc>
        <w:tc>
          <w:tcPr>
            <w:tcW w:w="1739" w:type="dxa"/>
            <w:gridSpan w:val="3"/>
            <w:vAlign w:val="center"/>
          </w:tcPr>
          <w:p w14:paraId="0997094B">
            <w:pPr>
              <w:widowControl/>
              <w:rPr>
                <w:rFonts w:hint="eastAsia" w:cs="宋体"/>
                <w:kern w:val="0"/>
              </w:rPr>
            </w:pPr>
            <w:r>
              <w:rPr>
                <w:rFonts w:hint="eastAsia" w:cs="宋体"/>
                <w:kern w:val="0"/>
              </w:rPr>
              <w:t>中级职称人员</w:t>
            </w:r>
          </w:p>
        </w:tc>
        <w:tc>
          <w:tcPr>
            <w:tcW w:w="2546" w:type="dxa"/>
            <w:gridSpan w:val="4"/>
            <w:vAlign w:val="center"/>
          </w:tcPr>
          <w:p w14:paraId="121DFD35">
            <w:pPr>
              <w:widowControl/>
              <w:rPr>
                <w:rFonts w:hint="eastAsia" w:cs="宋体"/>
                <w:kern w:val="0"/>
              </w:rPr>
            </w:pPr>
          </w:p>
        </w:tc>
      </w:tr>
      <w:tr w14:paraId="553514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682" w:type="dxa"/>
            <w:vAlign w:val="center"/>
          </w:tcPr>
          <w:p w14:paraId="75C59B15">
            <w:pPr>
              <w:widowControl/>
              <w:jc w:val="center"/>
              <w:rPr>
                <w:rFonts w:hint="eastAsia" w:cs="宋体"/>
                <w:kern w:val="0"/>
              </w:rPr>
            </w:pPr>
            <w:r>
              <w:rPr>
                <w:rFonts w:hint="eastAsia" w:cs="宋体"/>
                <w:kern w:val="0"/>
              </w:rPr>
              <w:t>开户银行</w:t>
            </w:r>
          </w:p>
        </w:tc>
        <w:tc>
          <w:tcPr>
            <w:tcW w:w="2537" w:type="dxa"/>
            <w:gridSpan w:val="3"/>
            <w:vAlign w:val="center"/>
          </w:tcPr>
          <w:p w14:paraId="062B8D99">
            <w:pPr>
              <w:jc w:val="center"/>
              <w:rPr>
                <w:rFonts w:hint="eastAsia" w:cs="宋体"/>
              </w:rPr>
            </w:pPr>
          </w:p>
        </w:tc>
        <w:tc>
          <w:tcPr>
            <w:tcW w:w="529" w:type="dxa"/>
            <w:vMerge w:val="continue"/>
            <w:vAlign w:val="center"/>
          </w:tcPr>
          <w:p w14:paraId="73027505">
            <w:pPr>
              <w:widowControl/>
              <w:rPr>
                <w:rFonts w:hint="eastAsia" w:cs="宋体"/>
                <w:kern w:val="0"/>
              </w:rPr>
            </w:pPr>
          </w:p>
        </w:tc>
        <w:tc>
          <w:tcPr>
            <w:tcW w:w="1739" w:type="dxa"/>
            <w:gridSpan w:val="3"/>
            <w:vAlign w:val="center"/>
          </w:tcPr>
          <w:p w14:paraId="6892D0EC">
            <w:pPr>
              <w:widowControl/>
              <w:rPr>
                <w:rFonts w:hint="eastAsia" w:cs="宋体"/>
                <w:kern w:val="0"/>
              </w:rPr>
            </w:pPr>
            <w:r>
              <w:rPr>
                <w:rFonts w:hint="eastAsia" w:cs="宋体"/>
                <w:kern w:val="0"/>
              </w:rPr>
              <w:t>初级职称人员</w:t>
            </w:r>
          </w:p>
        </w:tc>
        <w:tc>
          <w:tcPr>
            <w:tcW w:w="2546" w:type="dxa"/>
            <w:gridSpan w:val="4"/>
            <w:vAlign w:val="center"/>
          </w:tcPr>
          <w:p w14:paraId="35261737">
            <w:pPr>
              <w:widowControl/>
              <w:rPr>
                <w:rFonts w:hint="eastAsia" w:cs="宋体"/>
                <w:kern w:val="0"/>
              </w:rPr>
            </w:pPr>
          </w:p>
        </w:tc>
      </w:tr>
      <w:tr w14:paraId="04FE58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trPr>
        <w:tc>
          <w:tcPr>
            <w:tcW w:w="1682" w:type="dxa"/>
            <w:vAlign w:val="center"/>
          </w:tcPr>
          <w:p w14:paraId="77C8E077">
            <w:pPr>
              <w:widowControl/>
              <w:jc w:val="center"/>
              <w:rPr>
                <w:rFonts w:hint="eastAsia" w:cs="宋体"/>
                <w:kern w:val="0"/>
              </w:rPr>
            </w:pPr>
            <w:r>
              <w:rPr>
                <w:rFonts w:hint="eastAsia" w:cs="宋体"/>
                <w:kern w:val="0"/>
              </w:rPr>
              <w:t>账号</w:t>
            </w:r>
          </w:p>
        </w:tc>
        <w:tc>
          <w:tcPr>
            <w:tcW w:w="2537" w:type="dxa"/>
            <w:gridSpan w:val="3"/>
            <w:vAlign w:val="center"/>
          </w:tcPr>
          <w:p w14:paraId="288E91AB">
            <w:pPr>
              <w:jc w:val="center"/>
              <w:rPr>
                <w:rFonts w:hint="eastAsia" w:cs="宋体"/>
              </w:rPr>
            </w:pPr>
          </w:p>
        </w:tc>
        <w:tc>
          <w:tcPr>
            <w:tcW w:w="529" w:type="dxa"/>
            <w:vMerge w:val="continue"/>
            <w:vAlign w:val="center"/>
          </w:tcPr>
          <w:p w14:paraId="4180A8B1">
            <w:pPr>
              <w:widowControl/>
              <w:rPr>
                <w:rFonts w:hint="eastAsia" w:cs="宋体"/>
                <w:kern w:val="0"/>
              </w:rPr>
            </w:pPr>
          </w:p>
        </w:tc>
        <w:tc>
          <w:tcPr>
            <w:tcW w:w="1739" w:type="dxa"/>
            <w:gridSpan w:val="3"/>
            <w:vAlign w:val="center"/>
          </w:tcPr>
          <w:p w14:paraId="57D6110F">
            <w:pPr>
              <w:widowControl/>
              <w:jc w:val="center"/>
              <w:rPr>
                <w:rFonts w:hint="eastAsia" w:cs="宋体"/>
                <w:kern w:val="0"/>
              </w:rPr>
            </w:pPr>
            <w:r>
              <w:rPr>
                <w:rFonts w:hint="eastAsia" w:cs="宋体"/>
                <w:kern w:val="0"/>
              </w:rPr>
              <w:t>普通人员</w:t>
            </w:r>
          </w:p>
        </w:tc>
        <w:tc>
          <w:tcPr>
            <w:tcW w:w="2546" w:type="dxa"/>
            <w:gridSpan w:val="4"/>
            <w:vAlign w:val="center"/>
          </w:tcPr>
          <w:p w14:paraId="4005AAAF">
            <w:pPr>
              <w:widowControl/>
              <w:rPr>
                <w:rFonts w:hint="eastAsia" w:cs="宋体"/>
                <w:kern w:val="0"/>
              </w:rPr>
            </w:pPr>
          </w:p>
        </w:tc>
      </w:tr>
      <w:tr w14:paraId="504DA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7" w:hRule="atLeast"/>
        </w:trPr>
        <w:tc>
          <w:tcPr>
            <w:tcW w:w="1682" w:type="dxa"/>
            <w:vAlign w:val="center"/>
          </w:tcPr>
          <w:p w14:paraId="65C022C0">
            <w:pPr>
              <w:jc w:val="center"/>
              <w:rPr>
                <w:rFonts w:hint="eastAsia" w:cs="宋体"/>
              </w:rPr>
            </w:pPr>
            <w:r>
              <w:rPr>
                <w:rFonts w:hint="eastAsia" w:cs="宋体"/>
              </w:rPr>
              <w:t>经营范围</w:t>
            </w:r>
          </w:p>
        </w:tc>
        <w:tc>
          <w:tcPr>
            <w:tcW w:w="7351" w:type="dxa"/>
            <w:gridSpan w:val="11"/>
            <w:vAlign w:val="center"/>
          </w:tcPr>
          <w:p w14:paraId="6DE0B04D">
            <w:pPr>
              <w:jc w:val="center"/>
              <w:rPr>
                <w:rFonts w:hint="eastAsia" w:cs="宋体"/>
              </w:rPr>
            </w:pPr>
          </w:p>
          <w:p w14:paraId="7B99E71D">
            <w:pPr>
              <w:jc w:val="center"/>
              <w:rPr>
                <w:rFonts w:hint="eastAsia" w:cs="宋体"/>
              </w:rPr>
            </w:pPr>
          </w:p>
          <w:p w14:paraId="27E5EB55">
            <w:pPr>
              <w:jc w:val="center"/>
              <w:rPr>
                <w:rFonts w:hint="eastAsia" w:cs="宋体"/>
              </w:rPr>
            </w:pPr>
          </w:p>
          <w:p w14:paraId="700E697B">
            <w:pPr>
              <w:jc w:val="center"/>
              <w:rPr>
                <w:rFonts w:hint="eastAsia" w:cs="宋体"/>
              </w:rPr>
            </w:pPr>
          </w:p>
          <w:p w14:paraId="69757576">
            <w:pPr>
              <w:jc w:val="center"/>
              <w:rPr>
                <w:rFonts w:hint="eastAsia" w:cs="宋体"/>
              </w:rPr>
            </w:pPr>
          </w:p>
          <w:p w14:paraId="5E618D13">
            <w:pPr>
              <w:jc w:val="center"/>
              <w:rPr>
                <w:rFonts w:hint="eastAsia" w:cs="宋体"/>
              </w:rPr>
            </w:pPr>
          </w:p>
          <w:p w14:paraId="60B9EF01">
            <w:pPr>
              <w:jc w:val="center"/>
              <w:rPr>
                <w:rFonts w:hint="eastAsia" w:cs="宋体"/>
              </w:rPr>
            </w:pPr>
          </w:p>
          <w:p w14:paraId="133CE6AC">
            <w:pPr>
              <w:jc w:val="center"/>
              <w:rPr>
                <w:rFonts w:hint="eastAsia" w:cs="宋体"/>
              </w:rPr>
            </w:pPr>
          </w:p>
        </w:tc>
      </w:tr>
      <w:tr w14:paraId="34B8D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682" w:type="dxa"/>
            <w:vAlign w:val="center"/>
          </w:tcPr>
          <w:p w14:paraId="40C22A93">
            <w:pPr>
              <w:jc w:val="center"/>
              <w:rPr>
                <w:rFonts w:hint="eastAsia" w:cs="宋体"/>
              </w:rPr>
            </w:pPr>
            <w:r>
              <w:rPr>
                <w:rFonts w:hint="eastAsia" w:cs="宋体"/>
              </w:rPr>
              <w:t>备注</w:t>
            </w:r>
          </w:p>
        </w:tc>
        <w:tc>
          <w:tcPr>
            <w:tcW w:w="7351" w:type="dxa"/>
            <w:gridSpan w:val="11"/>
            <w:vAlign w:val="center"/>
          </w:tcPr>
          <w:p w14:paraId="5B09EFE3">
            <w:pPr>
              <w:jc w:val="center"/>
              <w:rPr>
                <w:rFonts w:hint="eastAsia" w:cs="宋体"/>
              </w:rPr>
            </w:pPr>
          </w:p>
        </w:tc>
      </w:tr>
    </w:tbl>
    <w:p w14:paraId="64E2CF4F">
      <w:pPr>
        <w:pStyle w:val="19"/>
        <w:rPr>
          <w:rFonts w:hint="eastAsia"/>
        </w:rPr>
      </w:pPr>
    </w:p>
    <w:p w14:paraId="1B4173BF">
      <w:pPr>
        <w:pStyle w:val="3"/>
      </w:pPr>
      <w:r>
        <w:rPr>
          <w:rFonts w:hint="eastAsia"/>
        </w:rPr>
        <w:br w:type="page"/>
      </w:r>
      <w:r>
        <w:rPr>
          <w:rFonts w:hint="eastAsia"/>
        </w:rPr>
        <w:t>8、响应偏离表</w:t>
      </w:r>
    </w:p>
    <w:p w14:paraId="076D9D8B">
      <w:pPr>
        <w:ind w:firstLine="480" w:firstLineChars="200"/>
        <w:rPr>
          <w:rFonts w:ascii="Times New Roman" w:hAnsi="Times New Roman"/>
          <w:b/>
          <w:bCs/>
        </w:rPr>
      </w:pPr>
      <w:bookmarkStart w:id="114" w:name="_Hlk83548483"/>
      <w:r>
        <w:rPr>
          <w:rFonts w:hint="eastAsia" w:ascii="Times New Roman" w:hAnsi="Times New Roman"/>
        </w:rPr>
        <w:t>说明：供应商必须仔细阅读第三章采购需求中关于采购内容和技术要求、商务要求等内容的所有要求。针对采购需求的要求，供应商若完全满足则在下方“</w:t>
      </w:r>
      <w:r>
        <w:rPr>
          <w:rFonts w:hint="eastAsia" w:ascii="Times New Roman" w:hAnsi="Times New Roman"/>
          <w:bCs/>
        </w:rPr>
        <w:t>无负偏离</w:t>
      </w:r>
      <w:r>
        <w:rPr>
          <w:rFonts w:hint="eastAsia" w:ascii="Times New Roman" w:hAnsi="Times New Roman"/>
        </w:rPr>
        <w:t>”的方框前打勾，且仅需将采购需求中要求提供证明材料的参数条款响应情况列入下表，若无相关证明材料要求，下表可不用填写；供应商若有负偏离，则在下方“有负偏离”的方框前打勾，并将所有负偏离的情况、采购需求中要求提供证明材料的参数条款响应情况一并列入下表。</w:t>
      </w:r>
      <w:r>
        <w:rPr>
          <w:rFonts w:hint="eastAsia"/>
          <w:b/>
          <w:bCs/>
        </w:rPr>
        <w:t>供应商必须根据所投产品的实际情况如实填写，磋商小组如发现有严重虚假描述的，该响应文件作无效响应处理。</w:t>
      </w:r>
    </w:p>
    <w:p w14:paraId="5EAC00D9">
      <w:pPr>
        <w:snapToGrid w:val="0"/>
        <w:rPr>
          <w:rFonts w:ascii="Times New Roman" w:hAnsi="Times New Roman"/>
          <w:bCs/>
        </w:rPr>
      </w:pPr>
      <w:r>
        <w:rPr>
          <w:rFonts w:hint="eastAsia" w:ascii="Times New Roman" w:hAnsi="Times New Roman"/>
          <w:bCs/>
        </w:rPr>
        <w:t>□无负偏离，我方完全满足采购需求所有内容和要求。</w:t>
      </w:r>
    </w:p>
    <w:p w14:paraId="5C2F862E">
      <w:pPr>
        <w:snapToGrid w:val="0"/>
        <w:rPr>
          <w:rFonts w:ascii="Times New Roman" w:hAnsi="Times New Roman"/>
          <w:bCs/>
        </w:rPr>
      </w:pPr>
      <w:r>
        <w:rPr>
          <w:rFonts w:hint="eastAsia" w:ascii="Times New Roman" w:hAnsi="Times New Roman"/>
          <w:bCs/>
        </w:rPr>
        <w:t>□有负偏离。</w:t>
      </w:r>
    </w:p>
    <w:bookmarkEnd w:id="114"/>
    <w:tbl>
      <w:tblPr>
        <w:tblStyle w:val="28"/>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5"/>
        <w:gridCol w:w="2160"/>
        <w:gridCol w:w="2268"/>
        <w:gridCol w:w="1714"/>
        <w:gridCol w:w="1714"/>
      </w:tblGrid>
      <w:tr w14:paraId="6D4721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 w:hRule="atLeast"/>
          <w:tblHeader/>
        </w:trPr>
        <w:tc>
          <w:tcPr>
            <w:tcW w:w="675" w:type="dxa"/>
            <w:tcBorders>
              <w:bottom w:val="single" w:color="auto" w:sz="4" w:space="0"/>
            </w:tcBorders>
            <w:vAlign w:val="center"/>
          </w:tcPr>
          <w:p w14:paraId="7AC2BC56">
            <w:pPr>
              <w:snapToGrid w:val="0"/>
              <w:jc w:val="center"/>
              <w:rPr>
                <w:rFonts w:ascii="Times New Roman" w:hAnsi="Times New Roman"/>
                <w:szCs w:val="21"/>
              </w:rPr>
            </w:pPr>
            <w:r>
              <w:rPr>
                <w:rFonts w:hint="eastAsia" w:ascii="Times New Roman" w:hAnsi="Times New Roman"/>
                <w:szCs w:val="21"/>
              </w:rPr>
              <w:t>序号</w:t>
            </w:r>
          </w:p>
        </w:tc>
        <w:tc>
          <w:tcPr>
            <w:tcW w:w="2160" w:type="dxa"/>
            <w:tcBorders>
              <w:bottom w:val="single" w:color="auto" w:sz="4" w:space="0"/>
            </w:tcBorders>
            <w:vAlign w:val="center"/>
          </w:tcPr>
          <w:p w14:paraId="6F52B863">
            <w:pPr>
              <w:snapToGrid w:val="0"/>
              <w:jc w:val="center"/>
              <w:rPr>
                <w:rFonts w:ascii="Times New Roman" w:hAnsi="Times New Roman"/>
                <w:szCs w:val="21"/>
              </w:rPr>
            </w:pPr>
            <w:r>
              <w:rPr>
                <w:rFonts w:hint="eastAsia" w:ascii="Times New Roman" w:hAnsi="Times New Roman"/>
                <w:szCs w:val="21"/>
              </w:rPr>
              <w:t>采购需求</w:t>
            </w:r>
            <w:r>
              <w:rPr>
                <w:szCs w:val="21"/>
              </w:rPr>
              <w:t>货物名称</w:t>
            </w:r>
            <w:r>
              <w:rPr>
                <w:rFonts w:hint="eastAsia"/>
                <w:szCs w:val="21"/>
              </w:rPr>
              <w:t>（或</w:t>
            </w:r>
            <w:r>
              <w:rPr>
                <w:rFonts w:hint="eastAsia" w:ascii="Times New Roman" w:hAnsi="Times New Roman"/>
                <w:szCs w:val="21"/>
              </w:rPr>
              <w:t>采购需求条款服务内容</w:t>
            </w:r>
            <w:r>
              <w:rPr>
                <w:rFonts w:hint="eastAsia"/>
                <w:szCs w:val="21"/>
              </w:rPr>
              <w:t>）和</w:t>
            </w:r>
            <w:r>
              <w:rPr>
                <w:rFonts w:hint="eastAsia" w:ascii="Times New Roman" w:hAnsi="Times New Roman"/>
                <w:szCs w:val="21"/>
              </w:rPr>
              <w:t>技术要求及商务要求</w:t>
            </w:r>
          </w:p>
        </w:tc>
        <w:tc>
          <w:tcPr>
            <w:tcW w:w="2268" w:type="dxa"/>
            <w:tcBorders>
              <w:bottom w:val="single" w:color="auto" w:sz="4" w:space="0"/>
            </w:tcBorders>
            <w:vAlign w:val="center"/>
          </w:tcPr>
          <w:p w14:paraId="222CA8E0">
            <w:pPr>
              <w:snapToGrid w:val="0"/>
              <w:jc w:val="center"/>
              <w:rPr>
                <w:rFonts w:ascii="Times New Roman" w:hAnsi="Times New Roman"/>
                <w:szCs w:val="21"/>
              </w:rPr>
            </w:pPr>
            <w:r>
              <w:rPr>
                <w:rFonts w:hint="eastAsia" w:ascii="Times New Roman" w:hAnsi="Times New Roman"/>
                <w:szCs w:val="21"/>
              </w:rPr>
              <w:t>供应商</w:t>
            </w:r>
            <w:r>
              <w:rPr>
                <w:rFonts w:hint="eastAsia"/>
                <w:kern w:val="0"/>
                <w:szCs w:val="21"/>
              </w:rPr>
              <w:t>响应内容</w:t>
            </w:r>
          </w:p>
        </w:tc>
        <w:tc>
          <w:tcPr>
            <w:tcW w:w="1714" w:type="dxa"/>
            <w:tcBorders>
              <w:bottom w:val="single" w:color="auto" w:sz="4" w:space="0"/>
            </w:tcBorders>
            <w:vAlign w:val="center"/>
          </w:tcPr>
          <w:p w14:paraId="512D8806">
            <w:pPr>
              <w:snapToGrid w:val="0"/>
              <w:jc w:val="center"/>
              <w:rPr>
                <w:rFonts w:ascii="Times New Roman" w:hAnsi="Times New Roman"/>
                <w:szCs w:val="21"/>
              </w:rPr>
            </w:pPr>
            <w:r>
              <w:rPr>
                <w:rFonts w:hint="eastAsia" w:ascii="Times New Roman" w:hAnsi="Times New Roman"/>
                <w:szCs w:val="21"/>
              </w:rPr>
              <w:t>偏离情况说明</w:t>
            </w:r>
          </w:p>
          <w:p w14:paraId="26A64AE6">
            <w:pPr>
              <w:snapToGrid w:val="0"/>
              <w:jc w:val="center"/>
              <w:rPr>
                <w:rFonts w:ascii="Times New Roman" w:hAnsi="Times New Roman"/>
                <w:szCs w:val="21"/>
              </w:rPr>
            </w:pPr>
            <w:r>
              <w:rPr>
                <w:rFonts w:hint="eastAsia" w:cs="宋体"/>
                <w:szCs w:val="21"/>
              </w:rPr>
              <w:t>（＋/-/=）</w:t>
            </w:r>
          </w:p>
        </w:tc>
        <w:tc>
          <w:tcPr>
            <w:tcW w:w="1714" w:type="dxa"/>
            <w:tcBorders>
              <w:bottom w:val="single" w:color="auto" w:sz="4" w:space="0"/>
            </w:tcBorders>
            <w:vAlign w:val="center"/>
          </w:tcPr>
          <w:p w14:paraId="265C963A">
            <w:pPr>
              <w:snapToGrid w:val="0"/>
              <w:jc w:val="center"/>
              <w:rPr>
                <w:rFonts w:ascii="Times New Roman" w:hAnsi="Times New Roman"/>
                <w:szCs w:val="21"/>
              </w:rPr>
            </w:pPr>
            <w:r>
              <w:rPr>
                <w:rFonts w:hint="eastAsia" w:ascii="Times New Roman" w:hAnsi="Times New Roman"/>
                <w:szCs w:val="21"/>
              </w:rPr>
              <w:t>证明材料索引</w:t>
            </w:r>
          </w:p>
        </w:tc>
      </w:tr>
      <w:tr w14:paraId="777943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2" w:hRule="atLeast"/>
          <w:tblHeader/>
        </w:trPr>
        <w:tc>
          <w:tcPr>
            <w:tcW w:w="675" w:type="dxa"/>
            <w:vAlign w:val="center"/>
          </w:tcPr>
          <w:p w14:paraId="684C1CC8">
            <w:pPr>
              <w:jc w:val="center"/>
              <w:rPr>
                <w:rFonts w:hint="eastAsia" w:cs="宋体"/>
                <w:szCs w:val="21"/>
              </w:rPr>
            </w:pPr>
            <w:r>
              <w:rPr>
                <w:rFonts w:hint="eastAsia" w:cs="宋体"/>
                <w:szCs w:val="21"/>
              </w:rPr>
              <w:t>1</w:t>
            </w:r>
          </w:p>
        </w:tc>
        <w:tc>
          <w:tcPr>
            <w:tcW w:w="2160" w:type="dxa"/>
            <w:vAlign w:val="center"/>
          </w:tcPr>
          <w:p w14:paraId="2972627B">
            <w:pPr>
              <w:jc w:val="center"/>
              <w:rPr>
                <w:rFonts w:ascii="Times New Roman" w:hAnsi="Times New Roman"/>
                <w:szCs w:val="21"/>
              </w:rPr>
            </w:pPr>
          </w:p>
        </w:tc>
        <w:tc>
          <w:tcPr>
            <w:tcW w:w="2268" w:type="dxa"/>
            <w:vAlign w:val="center"/>
          </w:tcPr>
          <w:p w14:paraId="285757C1">
            <w:pPr>
              <w:snapToGrid w:val="0"/>
              <w:jc w:val="center"/>
              <w:rPr>
                <w:rFonts w:ascii="Times New Roman" w:hAnsi="Times New Roman"/>
                <w:szCs w:val="21"/>
              </w:rPr>
            </w:pPr>
          </w:p>
        </w:tc>
        <w:tc>
          <w:tcPr>
            <w:tcW w:w="1714" w:type="dxa"/>
            <w:vAlign w:val="center"/>
          </w:tcPr>
          <w:p w14:paraId="146FE03A">
            <w:pPr>
              <w:snapToGrid w:val="0"/>
              <w:jc w:val="center"/>
              <w:rPr>
                <w:rFonts w:ascii="Times New Roman" w:hAnsi="Times New Roman"/>
                <w:szCs w:val="21"/>
              </w:rPr>
            </w:pPr>
          </w:p>
        </w:tc>
        <w:tc>
          <w:tcPr>
            <w:tcW w:w="1714" w:type="dxa"/>
            <w:vAlign w:val="center"/>
          </w:tcPr>
          <w:p w14:paraId="1CEBBB22">
            <w:pPr>
              <w:snapToGrid w:val="0"/>
              <w:jc w:val="center"/>
              <w:rPr>
                <w:rFonts w:ascii="Times New Roman" w:hAnsi="Times New Roman"/>
                <w:szCs w:val="21"/>
              </w:rPr>
            </w:pPr>
          </w:p>
        </w:tc>
      </w:tr>
      <w:tr w14:paraId="082413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675" w:type="dxa"/>
            <w:vAlign w:val="center"/>
          </w:tcPr>
          <w:p w14:paraId="03DEBA20">
            <w:pPr>
              <w:jc w:val="center"/>
              <w:rPr>
                <w:rFonts w:hint="eastAsia" w:cs="宋体"/>
                <w:szCs w:val="21"/>
              </w:rPr>
            </w:pPr>
            <w:r>
              <w:rPr>
                <w:rFonts w:hint="eastAsia" w:cs="宋体"/>
                <w:szCs w:val="21"/>
              </w:rPr>
              <w:t>2</w:t>
            </w:r>
          </w:p>
        </w:tc>
        <w:tc>
          <w:tcPr>
            <w:tcW w:w="2160" w:type="dxa"/>
            <w:vAlign w:val="center"/>
          </w:tcPr>
          <w:p w14:paraId="116180A9">
            <w:pPr>
              <w:jc w:val="center"/>
              <w:rPr>
                <w:rFonts w:ascii="Times New Roman" w:hAnsi="Times New Roman"/>
                <w:szCs w:val="21"/>
              </w:rPr>
            </w:pPr>
          </w:p>
        </w:tc>
        <w:tc>
          <w:tcPr>
            <w:tcW w:w="2268" w:type="dxa"/>
            <w:vAlign w:val="center"/>
          </w:tcPr>
          <w:p w14:paraId="21D7280A">
            <w:pPr>
              <w:snapToGrid w:val="0"/>
              <w:jc w:val="center"/>
              <w:rPr>
                <w:rFonts w:ascii="Times New Roman" w:hAnsi="Times New Roman"/>
                <w:szCs w:val="21"/>
              </w:rPr>
            </w:pPr>
          </w:p>
        </w:tc>
        <w:tc>
          <w:tcPr>
            <w:tcW w:w="1714" w:type="dxa"/>
            <w:vAlign w:val="center"/>
          </w:tcPr>
          <w:p w14:paraId="49FCC09E">
            <w:pPr>
              <w:snapToGrid w:val="0"/>
              <w:jc w:val="center"/>
              <w:rPr>
                <w:rFonts w:ascii="Times New Roman" w:hAnsi="Times New Roman"/>
                <w:szCs w:val="21"/>
              </w:rPr>
            </w:pPr>
          </w:p>
        </w:tc>
        <w:tc>
          <w:tcPr>
            <w:tcW w:w="1714" w:type="dxa"/>
            <w:vAlign w:val="center"/>
          </w:tcPr>
          <w:p w14:paraId="3E91AE16">
            <w:pPr>
              <w:snapToGrid w:val="0"/>
              <w:jc w:val="center"/>
              <w:rPr>
                <w:rFonts w:ascii="Times New Roman" w:hAnsi="Times New Roman"/>
                <w:szCs w:val="21"/>
              </w:rPr>
            </w:pPr>
          </w:p>
        </w:tc>
      </w:tr>
      <w:tr w14:paraId="02DEC8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0" w:hRule="atLeast"/>
          <w:tblHeader/>
        </w:trPr>
        <w:tc>
          <w:tcPr>
            <w:tcW w:w="675" w:type="dxa"/>
            <w:vAlign w:val="center"/>
          </w:tcPr>
          <w:p w14:paraId="25639CDF">
            <w:pPr>
              <w:jc w:val="center"/>
              <w:rPr>
                <w:rFonts w:ascii="Times New Roman" w:hAnsi="Times New Roman"/>
                <w:szCs w:val="21"/>
              </w:rPr>
            </w:pPr>
            <w:r>
              <w:rPr>
                <w:rFonts w:ascii="Times New Roman" w:hAnsi="Times New Roman"/>
                <w:szCs w:val="21"/>
              </w:rPr>
              <w:t>…</w:t>
            </w:r>
          </w:p>
        </w:tc>
        <w:tc>
          <w:tcPr>
            <w:tcW w:w="2160" w:type="dxa"/>
            <w:vAlign w:val="center"/>
          </w:tcPr>
          <w:p w14:paraId="08AB146F">
            <w:pPr>
              <w:jc w:val="center"/>
              <w:rPr>
                <w:rFonts w:ascii="Times New Roman" w:hAnsi="Times New Roman"/>
                <w:szCs w:val="21"/>
              </w:rPr>
            </w:pPr>
          </w:p>
        </w:tc>
        <w:tc>
          <w:tcPr>
            <w:tcW w:w="2268" w:type="dxa"/>
            <w:vAlign w:val="center"/>
          </w:tcPr>
          <w:p w14:paraId="65F1A8D8">
            <w:pPr>
              <w:snapToGrid w:val="0"/>
              <w:jc w:val="center"/>
              <w:rPr>
                <w:rFonts w:ascii="Times New Roman" w:hAnsi="Times New Roman"/>
                <w:szCs w:val="21"/>
              </w:rPr>
            </w:pPr>
          </w:p>
        </w:tc>
        <w:tc>
          <w:tcPr>
            <w:tcW w:w="1714" w:type="dxa"/>
            <w:vAlign w:val="center"/>
          </w:tcPr>
          <w:p w14:paraId="434A6D3A">
            <w:pPr>
              <w:snapToGrid w:val="0"/>
              <w:jc w:val="center"/>
              <w:rPr>
                <w:rFonts w:ascii="Times New Roman" w:hAnsi="Times New Roman"/>
                <w:szCs w:val="21"/>
              </w:rPr>
            </w:pPr>
          </w:p>
        </w:tc>
        <w:tc>
          <w:tcPr>
            <w:tcW w:w="1714" w:type="dxa"/>
            <w:vAlign w:val="center"/>
          </w:tcPr>
          <w:p w14:paraId="21805515">
            <w:pPr>
              <w:snapToGrid w:val="0"/>
              <w:jc w:val="center"/>
              <w:rPr>
                <w:rFonts w:ascii="Times New Roman" w:hAnsi="Times New Roman"/>
                <w:szCs w:val="21"/>
              </w:rPr>
            </w:pPr>
          </w:p>
        </w:tc>
      </w:tr>
    </w:tbl>
    <w:p w14:paraId="39C2BA3E">
      <w:pPr>
        <w:tabs>
          <w:tab w:val="left" w:pos="11130"/>
        </w:tabs>
        <w:snapToGrid w:val="0"/>
        <w:rPr>
          <w:rFonts w:ascii="Times New Roman" w:hAnsi="Times New Roman"/>
          <w:bCs/>
        </w:rPr>
      </w:pPr>
    </w:p>
    <w:p w14:paraId="67D8AA0E">
      <w:pPr>
        <w:snapToGrid w:val="0"/>
        <w:rPr>
          <w:rFonts w:hint="eastAsia" w:cs="宋体"/>
          <w:bCs/>
        </w:rPr>
      </w:pPr>
      <w:r>
        <w:rPr>
          <w:rFonts w:hint="eastAsia" w:ascii="Times New Roman" w:hAnsi="Times New Roman"/>
          <w:bCs/>
        </w:rPr>
        <w:t>注：</w:t>
      </w:r>
      <w:r>
        <w:rPr>
          <w:rFonts w:hint="eastAsia" w:cs="宋体"/>
          <w:bCs/>
        </w:rPr>
        <w:t>1.此表为表样，列数和行数可根据采购需求的内容调整，其他部分表式不变。</w:t>
      </w:r>
    </w:p>
    <w:p w14:paraId="700D2131">
      <w:pPr>
        <w:snapToGrid w:val="0"/>
        <w:ind w:firstLine="462"/>
        <w:rPr>
          <w:rFonts w:hint="eastAsia" w:cs="宋体"/>
          <w:bCs/>
        </w:rPr>
      </w:pPr>
      <w:r>
        <w:rPr>
          <w:rFonts w:hint="eastAsia" w:cs="宋体"/>
          <w:bCs/>
        </w:rPr>
        <w:t>2.如采购需求中的货物、名称或要求类别目录级别下有子项，应按其目录级别的最小单元进行逐条对应响应。</w:t>
      </w:r>
    </w:p>
    <w:p w14:paraId="18E2E1AD">
      <w:pPr>
        <w:snapToGrid w:val="0"/>
        <w:ind w:firstLine="462"/>
        <w:rPr>
          <w:rFonts w:hint="eastAsia" w:cs="宋体"/>
          <w:bCs/>
        </w:rPr>
      </w:pPr>
      <w:r>
        <w:rPr>
          <w:rFonts w:hint="eastAsia" w:cs="宋体"/>
          <w:bCs/>
        </w:rPr>
        <w:t>3.</w:t>
      </w:r>
      <w:r>
        <w:rPr>
          <w:rFonts w:hint="eastAsia"/>
          <w:bCs/>
        </w:rPr>
        <w:t>是否偏离用符号“+、=、-”分别表示正偏离、完全响应、负偏离。</w:t>
      </w:r>
      <w:r>
        <w:rPr>
          <w:rFonts w:hint="eastAsia" w:cs="宋体"/>
        </w:rPr>
        <w:t>单一来源采购小组协商时不能只根据供应商填写的偏离情况来判断是否响应，而应认真查阅第三章</w:t>
      </w:r>
      <w:r>
        <w:rPr>
          <w:rFonts w:hint="eastAsia" w:cs="宋体"/>
          <w:bCs/>
        </w:rPr>
        <w:t>采购需求</w:t>
      </w:r>
      <w:r>
        <w:rPr>
          <w:rFonts w:hint="eastAsia" w:cs="宋体"/>
        </w:rPr>
        <w:t>中相关内容描述以及要求提供的相关技术资料判断是否满足要求；</w:t>
      </w:r>
    </w:p>
    <w:p w14:paraId="62374F35">
      <w:pPr>
        <w:snapToGrid w:val="0"/>
        <w:rPr>
          <w:rFonts w:ascii="Times New Roman" w:hAnsi="Times New Roman"/>
          <w:bCs/>
        </w:rPr>
      </w:pPr>
    </w:p>
    <w:p w14:paraId="6E32AC98">
      <w:pPr>
        <w:rPr>
          <w:rFonts w:ascii="Times New Roman" w:hAnsi="Times New Roman"/>
        </w:rPr>
      </w:pPr>
      <w:r>
        <w:rPr>
          <w:rFonts w:hint="eastAsia" w:ascii="Times New Roman" w:hAnsi="Times New Roman"/>
        </w:rPr>
        <w:t>供应商名称：        （盖章）</w:t>
      </w:r>
    </w:p>
    <w:p w14:paraId="71B17482">
      <w:pPr>
        <w:rPr>
          <w:rFonts w:ascii="Times New Roman" w:hAnsi="Times New Roman"/>
        </w:rPr>
      </w:pPr>
      <w:r>
        <w:rPr>
          <w:rFonts w:hint="eastAsia" w:ascii="Times New Roman" w:hAnsi="Times New Roman"/>
        </w:rPr>
        <w:t>法定代表人或授权代表（签字）：</w:t>
      </w:r>
    </w:p>
    <w:p w14:paraId="4A119D3E">
      <w:pPr>
        <w:widowControl/>
        <w:ind w:right="1400"/>
        <w:jc w:val="both"/>
        <w:rPr>
          <w:rFonts w:ascii="Times New Roman" w:hAnsi="Times New Roman"/>
          <w:kern w:val="0"/>
        </w:rPr>
      </w:pPr>
      <w:r>
        <w:rPr>
          <w:rFonts w:hint="eastAsia" w:ascii="Times New Roman" w:hAnsi="Times New Roman"/>
          <w:kern w:val="0"/>
          <w:szCs w:val="20"/>
        </w:rPr>
        <w:t>日期：_______________________</w:t>
      </w:r>
    </w:p>
    <w:p w14:paraId="560F2FED">
      <w:pPr>
        <w:pStyle w:val="3"/>
        <w:rPr>
          <w:rFonts w:eastAsia="黑体"/>
          <w:sz w:val="32"/>
        </w:rPr>
      </w:pPr>
      <w:r>
        <w:br w:type="page"/>
      </w:r>
      <w:r>
        <w:rPr>
          <w:rFonts w:hint="eastAsia"/>
        </w:rPr>
        <w:t>9、</w:t>
      </w:r>
      <w:r>
        <w:t>资格、资信证明</w:t>
      </w:r>
      <w:r>
        <w:rPr>
          <w:rFonts w:hint="eastAsia"/>
        </w:rPr>
        <w:t>材料和符合性审查证明材料</w:t>
      </w:r>
    </w:p>
    <w:p w14:paraId="262889C8">
      <w:pPr>
        <w:snapToGrid w:val="0"/>
        <w:rPr>
          <w:rFonts w:hint="eastAsia" w:cs="宋体"/>
          <w:bCs/>
        </w:rPr>
      </w:pPr>
      <w:r>
        <w:rPr>
          <w:rFonts w:hint="eastAsia" w:cs="宋体"/>
          <w:bCs/>
        </w:rPr>
        <w:t>（</w:t>
      </w:r>
      <w:r>
        <w:rPr>
          <w:rFonts w:hint="eastAsia" w:eastAsia="华康简标题宋"/>
          <w:bCs/>
        </w:rPr>
        <w:t>资格符合性审查表</w:t>
      </w:r>
      <w:r>
        <w:rPr>
          <w:rFonts w:hint="eastAsia" w:cs="宋体"/>
          <w:bCs/>
        </w:rPr>
        <w:t>要求的材料）</w:t>
      </w:r>
    </w:p>
    <w:p w14:paraId="702031D9">
      <w:pPr>
        <w:pStyle w:val="3"/>
      </w:pPr>
      <w:r>
        <w:br w:type="page"/>
      </w:r>
      <w:r>
        <w:rPr>
          <w:rFonts w:hint="eastAsia"/>
        </w:rPr>
        <w:t>10、其他材料</w:t>
      </w:r>
    </w:p>
    <w:p w14:paraId="596B5E8D">
      <w:pPr>
        <w:rPr>
          <w:rFonts w:hint="eastAsia" w:eastAsia="黑体"/>
          <w:b/>
          <w:bCs/>
        </w:rPr>
      </w:pPr>
      <w:r>
        <w:rPr>
          <w:rFonts w:hint="eastAsia" w:cs="宋体"/>
          <w:bCs/>
        </w:rPr>
        <w:t>（磋商文件要求提供和供应商认为应当提供的其他证明材料、方案等）</w:t>
      </w:r>
    </w:p>
    <w:p w14:paraId="12B9C599">
      <w:pPr>
        <w:rPr>
          <w:rFonts w:hint="eastAsia"/>
        </w:rPr>
      </w:pPr>
    </w:p>
    <w:p w14:paraId="4D92014E">
      <w:pPr>
        <w:ind w:right="960" w:rightChars="400"/>
        <w:rPr>
          <w:rFonts w:hint="eastAsia" w:eastAsia="黑体"/>
          <w:b/>
          <w:bCs/>
        </w:rPr>
      </w:pPr>
    </w:p>
    <w:p w14:paraId="3A85BA8E">
      <w:pPr>
        <w:ind w:firstLine="480" w:firstLineChars="200"/>
        <w:jc w:val="both"/>
        <w:rPr>
          <w:rFonts w:hint="eastAsia"/>
        </w:rPr>
      </w:pPr>
      <w:r>
        <w:br w:type="page"/>
      </w:r>
      <w:r>
        <w:rPr>
          <w:rFonts w:hint="eastAsia"/>
        </w:rPr>
        <w:t>说明：以下附件中，附件1、2由供应商单独打印携带至磋商现场，不需要装订在响应文件中。附件3属于响应文件格式要求的必要组成部分，供应商应当按文件要求在响应文件中提供；附件4则根据供应商自身情况决定是否需要提供；</w:t>
      </w:r>
    </w:p>
    <w:p w14:paraId="3BC80805">
      <w:pPr>
        <w:pStyle w:val="3"/>
      </w:pPr>
      <w:r>
        <w:rPr>
          <w:rFonts w:hint="eastAsia"/>
        </w:rPr>
        <w:t>附件1、磋商小组与供应商磋商环节记录</w:t>
      </w:r>
      <w:r>
        <w:rPr>
          <w:rFonts w:hint="eastAsia" w:ascii="宋体" w:hAnsi="宋体" w:cs="宋体"/>
        </w:rPr>
        <w:t>(单独打印携带至磋商现场，不需要装订在响应文件中)</w:t>
      </w:r>
    </w:p>
    <w:p w14:paraId="7A0C517B">
      <w:pPr>
        <w:rPr>
          <w:rFonts w:hint="eastAsia"/>
          <w:b/>
          <w:bCs/>
          <w:sz w:val="28"/>
          <w:szCs w:val="28"/>
        </w:rPr>
      </w:pPr>
      <w:r>
        <w:rPr>
          <w:rFonts w:hint="eastAsia"/>
          <w:b/>
          <w:bCs/>
          <w:sz w:val="28"/>
          <w:szCs w:val="28"/>
        </w:rPr>
        <w:t>项目名称：海南省儿童青少年心理健康医学中心基础办公信息设备采购项目</w:t>
      </w:r>
    </w:p>
    <w:p w14:paraId="424C628D">
      <w:pPr>
        <w:rPr>
          <w:rFonts w:hint="eastAsia"/>
          <w:b/>
          <w:bCs/>
          <w:sz w:val="28"/>
          <w:szCs w:val="28"/>
        </w:rPr>
      </w:pPr>
      <w:r>
        <w:rPr>
          <w:rFonts w:hint="eastAsia"/>
          <w:b/>
          <w:bCs/>
          <w:sz w:val="28"/>
          <w:szCs w:val="28"/>
        </w:rPr>
        <w:t>包号（若有）：/</w:t>
      </w:r>
    </w:p>
    <w:p w14:paraId="345B0CC2">
      <w:pPr>
        <w:rPr>
          <w:rFonts w:hint="eastAsia"/>
          <w:sz w:val="28"/>
          <w:szCs w:val="28"/>
        </w:rPr>
      </w:pPr>
      <w:r>
        <w:rPr>
          <w:rFonts w:hint="eastAsia"/>
          <w:b/>
          <w:bCs/>
          <w:sz w:val="28"/>
          <w:szCs w:val="28"/>
        </w:rPr>
        <w:t>磋商小组：</w:t>
      </w:r>
      <w:r>
        <w:rPr>
          <w:rFonts w:hint="eastAsia"/>
          <w:sz w:val="28"/>
          <w:szCs w:val="28"/>
        </w:rPr>
        <w:t>请出示身份证（供应商代表出示身份证原件由磋商小组核验）</w:t>
      </w:r>
    </w:p>
    <w:p w14:paraId="10CD6C6C">
      <w:pPr>
        <w:rPr>
          <w:rFonts w:hint="eastAsia"/>
          <w:sz w:val="28"/>
          <w:szCs w:val="28"/>
        </w:rPr>
      </w:pPr>
      <w:r>
        <w:rPr>
          <w:rFonts w:hint="eastAsia"/>
          <w:b/>
          <w:bCs/>
          <w:sz w:val="28"/>
          <w:szCs w:val="28"/>
        </w:rPr>
        <w:t>磋商小组：</w:t>
      </w:r>
      <w:r>
        <w:rPr>
          <w:rFonts w:hint="eastAsia"/>
          <w:sz w:val="28"/>
          <w:szCs w:val="28"/>
        </w:rPr>
        <w:t>现在告知你，经过该磋商小组的评审，你公司已通过本项目的资格符合性审查。你作为供应商代表是否完全知晓本项目竞争性磋商文件的全部内容。</w:t>
      </w:r>
    </w:p>
    <w:p w14:paraId="13876C6B">
      <w:pPr>
        <w:rPr>
          <w:rFonts w:hint="eastAsia"/>
          <w:b/>
          <w:bCs/>
          <w:sz w:val="28"/>
          <w:szCs w:val="28"/>
        </w:rPr>
      </w:pPr>
      <w:r>
        <w:rPr>
          <w:rFonts w:hint="eastAsia"/>
          <w:b/>
          <w:bCs/>
          <w:sz w:val="28"/>
          <w:szCs w:val="28"/>
        </w:rPr>
        <w:t>供应商代表：</w:t>
      </w:r>
    </w:p>
    <w:p w14:paraId="4B22F12E">
      <w:pPr>
        <w:rPr>
          <w:rFonts w:hint="eastAsia"/>
          <w:sz w:val="28"/>
          <w:szCs w:val="28"/>
        </w:rPr>
      </w:pPr>
      <w:r>
        <w:rPr>
          <w:rFonts w:hint="eastAsia"/>
          <w:sz w:val="28"/>
          <w:szCs w:val="28"/>
        </w:rPr>
        <w:t>□ 是。</w:t>
      </w:r>
    </w:p>
    <w:p w14:paraId="7C08FD53">
      <w:pPr>
        <w:pStyle w:val="19"/>
        <w:rPr>
          <w:rFonts w:hint="eastAsia"/>
        </w:rPr>
      </w:pPr>
      <w:r>
        <w:rPr>
          <w:rFonts w:hint="eastAsia"/>
          <w:sz w:val="28"/>
          <w:szCs w:val="28"/>
        </w:rPr>
        <w:t>□ 否。</w:t>
      </w:r>
    </w:p>
    <w:p w14:paraId="15A5DE78">
      <w:pPr>
        <w:rPr>
          <w:rFonts w:hint="eastAsia"/>
          <w:sz w:val="28"/>
          <w:szCs w:val="28"/>
        </w:rPr>
      </w:pPr>
      <w:r>
        <w:rPr>
          <w:rFonts w:hint="eastAsia"/>
          <w:b/>
          <w:bCs/>
          <w:sz w:val="28"/>
          <w:szCs w:val="28"/>
        </w:rPr>
        <w:t>磋商小组：</w:t>
      </w:r>
      <w:r>
        <w:rPr>
          <w:rFonts w:hint="eastAsia"/>
          <w:sz w:val="28"/>
          <w:szCs w:val="28"/>
        </w:rPr>
        <w:t>除响应文件约定的外，是否有关于本项目技术，价格和服务等其他方面需要补充的。</w:t>
      </w:r>
    </w:p>
    <w:p w14:paraId="03617858">
      <w:pPr>
        <w:rPr>
          <w:rFonts w:hint="eastAsia"/>
          <w:b/>
          <w:bCs/>
          <w:sz w:val="28"/>
          <w:szCs w:val="28"/>
        </w:rPr>
      </w:pPr>
      <w:r>
        <w:rPr>
          <w:rFonts w:hint="eastAsia"/>
          <w:b/>
          <w:bCs/>
          <w:sz w:val="28"/>
          <w:szCs w:val="28"/>
        </w:rPr>
        <w:t>供应商代表：</w:t>
      </w:r>
    </w:p>
    <w:p w14:paraId="3D74B611">
      <w:pPr>
        <w:rPr>
          <w:rFonts w:hint="eastAsia"/>
          <w:sz w:val="28"/>
          <w:szCs w:val="28"/>
        </w:rPr>
      </w:pPr>
      <w:r>
        <w:rPr>
          <w:rFonts w:hint="eastAsia"/>
          <w:sz w:val="28"/>
          <w:szCs w:val="28"/>
        </w:rPr>
        <w:t>□ 没有，完全响应本项目竞争性磋商文件。</w:t>
      </w:r>
    </w:p>
    <w:p w14:paraId="02AA6968">
      <w:pPr>
        <w:rPr>
          <w:rFonts w:hint="eastAsia"/>
          <w:sz w:val="28"/>
          <w:szCs w:val="28"/>
        </w:rPr>
      </w:pPr>
      <w:r>
        <w:rPr>
          <w:rFonts w:hint="eastAsia"/>
          <w:sz w:val="28"/>
          <w:szCs w:val="28"/>
        </w:rPr>
        <w:t>□ 有，具体在《最后报价单》中有注明。</w:t>
      </w:r>
    </w:p>
    <w:p w14:paraId="0915CFD8">
      <w:pPr>
        <w:rPr>
          <w:rFonts w:hint="eastAsia"/>
          <w:sz w:val="28"/>
          <w:szCs w:val="28"/>
        </w:rPr>
      </w:pPr>
    </w:p>
    <w:p w14:paraId="2EC5A12A">
      <w:pPr>
        <w:rPr>
          <w:rFonts w:hint="eastAsia"/>
          <w:b/>
          <w:bCs/>
          <w:sz w:val="28"/>
          <w:szCs w:val="28"/>
        </w:rPr>
      </w:pPr>
      <w:r>
        <w:rPr>
          <w:rFonts w:hint="eastAsia"/>
          <w:b/>
          <w:bCs/>
          <w:sz w:val="28"/>
          <w:szCs w:val="28"/>
        </w:rPr>
        <w:t>供应商名称：</w:t>
      </w:r>
    </w:p>
    <w:p w14:paraId="416AF5D6">
      <w:pPr>
        <w:rPr>
          <w:rFonts w:hint="eastAsia"/>
          <w:b/>
          <w:bCs/>
          <w:sz w:val="28"/>
          <w:szCs w:val="28"/>
        </w:rPr>
      </w:pPr>
      <w:r>
        <w:rPr>
          <w:rFonts w:hint="eastAsia"/>
          <w:b/>
          <w:bCs/>
          <w:sz w:val="28"/>
          <w:szCs w:val="28"/>
        </w:rPr>
        <w:t xml:space="preserve">供应商代表（签字或盖章）： </w:t>
      </w:r>
    </w:p>
    <w:p w14:paraId="75CC2F26">
      <w:pPr>
        <w:rPr>
          <w:rFonts w:hint="eastAsia"/>
          <w:b/>
          <w:bCs/>
          <w:sz w:val="28"/>
          <w:szCs w:val="28"/>
        </w:rPr>
      </w:pPr>
      <w:r>
        <w:rPr>
          <w:rFonts w:hint="eastAsia"/>
          <w:b/>
          <w:bCs/>
          <w:sz w:val="28"/>
          <w:szCs w:val="28"/>
        </w:rPr>
        <w:t>身份证号码：</w:t>
      </w:r>
    </w:p>
    <w:p w14:paraId="7A4CDE8C">
      <w:pPr>
        <w:rPr>
          <w:rFonts w:hint="eastAsia"/>
          <w:b/>
          <w:bCs/>
          <w:sz w:val="28"/>
          <w:szCs w:val="28"/>
        </w:rPr>
      </w:pPr>
      <w:r>
        <w:rPr>
          <w:rFonts w:hint="eastAsia"/>
          <w:b/>
          <w:bCs/>
          <w:sz w:val="28"/>
          <w:szCs w:val="28"/>
        </w:rPr>
        <w:t>磋商小组（签字）：</w:t>
      </w:r>
    </w:p>
    <w:p w14:paraId="75330643">
      <w:pPr>
        <w:pStyle w:val="27"/>
        <w:ind w:firstLine="281"/>
        <w:jc w:val="right"/>
        <w:rPr>
          <w:rFonts w:hint="eastAsia"/>
          <w:b/>
          <w:bCs/>
          <w:sz w:val="28"/>
          <w:szCs w:val="28"/>
        </w:rPr>
      </w:pPr>
      <w:r>
        <w:rPr>
          <w:rFonts w:hint="eastAsia"/>
          <w:b/>
          <w:bCs/>
          <w:sz w:val="28"/>
          <w:szCs w:val="28"/>
        </w:rPr>
        <w:t xml:space="preserve">    年   月   日</w:t>
      </w:r>
    </w:p>
    <w:p w14:paraId="43F90391">
      <w:pPr>
        <w:pStyle w:val="3"/>
      </w:pPr>
      <w:r>
        <w:rPr>
          <w:b w:val="0"/>
          <w:bCs w:val="0"/>
          <w:szCs w:val="28"/>
        </w:rPr>
        <w:br w:type="page"/>
      </w:r>
      <w:r>
        <w:rPr>
          <w:rFonts w:hint="eastAsia"/>
        </w:rPr>
        <w:t>附件2、最后报价单</w:t>
      </w:r>
      <w:r>
        <w:rPr>
          <w:rFonts w:hint="eastAsia" w:ascii="宋体" w:hAnsi="宋体" w:cs="宋体"/>
        </w:rPr>
        <w:t>(单独打印携带至磋商现场，不需要装订在响应文件中)</w:t>
      </w:r>
    </w:p>
    <w:p w14:paraId="20268E0A">
      <w:pPr>
        <w:rPr>
          <w:rFonts w:hint="eastAsia" w:cs="宋体"/>
        </w:rPr>
      </w:pPr>
      <w:r>
        <w:rPr>
          <w:rFonts w:hint="eastAsia" w:cs="宋体"/>
          <w:b/>
        </w:rPr>
        <w:t>（说明：最后报价单待开标当天通过资格符合性审查的供应商进入下一轮时才进行磋商和报价，最终成交供应商还须另外提供最后报价的分项报价明细）</w:t>
      </w:r>
    </w:p>
    <w:tbl>
      <w:tblPr>
        <w:tblStyle w:val="28"/>
        <w:tblW w:w="0" w:type="auto"/>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2093"/>
        <w:gridCol w:w="2362"/>
        <w:gridCol w:w="2362"/>
        <w:gridCol w:w="2363"/>
      </w:tblGrid>
      <w:tr w14:paraId="31636C1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vAlign w:val="center"/>
          </w:tcPr>
          <w:p w14:paraId="1F18BE93">
            <w:pPr>
              <w:pStyle w:val="75"/>
              <w:spacing w:line="360" w:lineRule="auto"/>
              <w:ind w:firstLine="461"/>
              <w:jc w:val="both"/>
              <w:rPr>
                <w:rFonts w:hint="eastAsia" w:ascii="宋体" w:eastAsia="宋体" w:cs="宋体"/>
                <w:sz w:val="24"/>
                <w:szCs w:val="24"/>
              </w:rPr>
            </w:pPr>
            <w:r>
              <w:rPr>
                <w:rFonts w:hint="eastAsia" w:ascii="宋体" w:eastAsia="宋体" w:cs="宋体"/>
                <w:sz w:val="24"/>
                <w:szCs w:val="24"/>
              </w:rPr>
              <w:t>项目名称</w:t>
            </w:r>
          </w:p>
        </w:tc>
        <w:tc>
          <w:tcPr>
            <w:tcW w:w="7087" w:type="dxa"/>
            <w:gridSpan w:val="3"/>
          </w:tcPr>
          <w:p w14:paraId="6D078287">
            <w:pPr>
              <w:pStyle w:val="75"/>
              <w:spacing w:line="360" w:lineRule="auto"/>
              <w:ind w:firstLine="0" w:firstLineChars="0"/>
              <w:rPr>
                <w:rFonts w:hint="eastAsia" w:ascii="宋体" w:eastAsia="宋体" w:cs="宋体"/>
                <w:sz w:val="24"/>
                <w:szCs w:val="24"/>
              </w:rPr>
            </w:pPr>
            <w:r>
              <w:rPr>
                <w:rFonts w:hint="eastAsia" w:ascii="宋体" w:eastAsia="宋体" w:cs="宋体"/>
                <w:sz w:val="24"/>
                <w:szCs w:val="24"/>
              </w:rPr>
              <w:t>海南省儿童青少年心理健康医学中心基础办公信息设备采购项目</w:t>
            </w:r>
          </w:p>
        </w:tc>
      </w:tr>
      <w:tr w14:paraId="210EFE7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2093" w:type="dxa"/>
          </w:tcPr>
          <w:p w14:paraId="69FA1766">
            <w:pPr>
              <w:pStyle w:val="75"/>
              <w:spacing w:line="360" w:lineRule="auto"/>
              <w:ind w:firstLine="461"/>
              <w:rPr>
                <w:rFonts w:hint="eastAsia" w:ascii="宋体" w:eastAsia="宋体" w:cs="宋体"/>
                <w:sz w:val="24"/>
                <w:szCs w:val="24"/>
              </w:rPr>
            </w:pPr>
            <w:r>
              <w:rPr>
                <w:rFonts w:hint="eastAsia" w:ascii="宋体" w:eastAsia="宋体" w:cs="宋体"/>
                <w:sz w:val="24"/>
                <w:szCs w:val="24"/>
              </w:rPr>
              <w:t>项目编号</w:t>
            </w:r>
          </w:p>
        </w:tc>
        <w:tc>
          <w:tcPr>
            <w:tcW w:w="2362" w:type="dxa"/>
          </w:tcPr>
          <w:p w14:paraId="519CCB4D">
            <w:pPr>
              <w:pStyle w:val="75"/>
              <w:spacing w:line="360" w:lineRule="auto"/>
              <w:ind w:firstLine="0" w:firstLineChars="0"/>
              <w:rPr>
                <w:rFonts w:hint="eastAsia" w:ascii="宋体" w:eastAsia="宋体" w:cs="宋体"/>
                <w:sz w:val="24"/>
                <w:szCs w:val="24"/>
              </w:rPr>
            </w:pPr>
            <w:r>
              <w:rPr>
                <w:rFonts w:hint="eastAsia" w:ascii="宋体" w:eastAsia="宋体" w:cs="宋体"/>
                <w:sz w:val="24"/>
                <w:szCs w:val="24"/>
              </w:rPr>
              <w:t>HNSHB-20250310</w:t>
            </w:r>
          </w:p>
        </w:tc>
        <w:tc>
          <w:tcPr>
            <w:tcW w:w="2362" w:type="dxa"/>
          </w:tcPr>
          <w:p w14:paraId="66DB768F">
            <w:pPr>
              <w:pStyle w:val="75"/>
              <w:spacing w:line="360" w:lineRule="auto"/>
              <w:ind w:firstLine="0" w:firstLineChars="0"/>
              <w:jc w:val="center"/>
              <w:rPr>
                <w:rFonts w:hint="eastAsia" w:ascii="宋体" w:eastAsia="宋体" w:cs="宋体"/>
                <w:sz w:val="24"/>
                <w:szCs w:val="24"/>
              </w:rPr>
            </w:pPr>
            <w:r>
              <w:rPr>
                <w:rFonts w:hint="eastAsia" w:ascii="宋体" w:eastAsia="宋体" w:cs="宋体"/>
                <w:sz w:val="24"/>
                <w:szCs w:val="24"/>
              </w:rPr>
              <w:t>包号（若有）</w:t>
            </w:r>
          </w:p>
        </w:tc>
        <w:tc>
          <w:tcPr>
            <w:tcW w:w="2363" w:type="dxa"/>
          </w:tcPr>
          <w:p w14:paraId="17FCD8C1">
            <w:pPr>
              <w:pStyle w:val="75"/>
              <w:spacing w:line="360" w:lineRule="auto"/>
              <w:ind w:firstLine="0" w:firstLineChars="0"/>
              <w:rPr>
                <w:rFonts w:hint="eastAsia" w:ascii="宋体" w:eastAsia="宋体" w:cs="宋体"/>
                <w:sz w:val="24"/>
                <w:szCs w:val="24"/>
              </w:rPr>
            </w:pPr>
          </w:p>
        </w:tc>
      </w:tr>
      <w:tr w14:paraId="5267942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946" w:hRule="atLeast"/>
        </w:trPr>
        <w:tc>
          <w:tcPr>
            <w:tcW w:w="2093" w:type="dxa"/>
            <w:vAlign w:val="center"/>
          </w:tcPr>
          <w:p w14:paraId="7F42AB0B">
            <w:pPr>
              <w:pStyle w:val="75"/>
              <w:spacing w:line="360" w:lineRule="auto"/>
              <w:ind w:firstLine="0" w:firstLineChars="0"/>
              <w:jc w:val="center"/>
              <w:rPr>
                <w:rFonts w:hint="eastAsia" w:ascii="宋体" w:eastAsia="宋体" w:cs="宋体"/>
                <w:sz w:val="24"/>
                <w:szCs w:val="24"/>
              </w:rPr>
            </w:pPr>
            <w:r>
              <w:rPr>
                <w:rFonts w:hint="eastAsia" w:ascii="宋体" w:eastAsia="宋体" w:cs="宋体"/>
                <w:sz w:val="24"/>
                <w:szCs w:val="24"/>
              </w:rPr>
              <w:t>磋商与应答情况记录（含商务、技术等方面）</w:t>
            </w:r>
          </w:p>
        </w:tc>
        <w:tc>
          <w:tcPr>
            <w:tcW w:w="7087" w:type="dxa"/>
            <w:gridSpan w:val="3"/>
          </w:tcPr>
          <w:p w14:paraId="1C9BEDEF">
            <w:pPr>
              <w:pStyle w:val="75"/>
              <w:spacing w:line="360" w:lineRule="auto"/>
              <w:ind w:firstLine="0" w:firstLineChars="0"/>
              <w:rPr>
                <w:rFonts w:hint="eastAsia" w:ascii="宋体" w:eastAsia="宋体" w:cs="宋体"/>
                <w:sz w:val="24"/>
                <w:szCs w:val="24"/>
              </w:rPr>
            </w:pPr>
          </w:p>
        </w:tc>
      </w:tr>
      <w:tr w14:paraId="6CFA8C1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55" w:hRule="atLeast"/>
        </w:trPr>
        <w:tc>
          <w:tcPr>
            <w:tcW w:w="9180" w:type="dxa"/>
            <w:gridSpan w:val="4"/>
          </w:tcPr>
          <w:p w14:paraId="4ECB58EA">
            <w:pPr>
              <w:pStyle w:val="75"/>
              <w:spacing w:line="360" w:lineRule="auto"/>
              <w:ind w:firstLine="461"/>
              <w:rPr>
                <w:rFonts w:hint="eastAsia" w:ascii="宋体" w:eastAsia="宋体" w:cs="宋体"/>
                <w:sz w:val="24"/>
                <w:szCs w:val="24"/>
              </w:rPr>
            </w:pPr>
            <w:r>
              <w:rPr>
                <w:rFonts w:hint="eastAsia" w:ascii="宋体" w:eastAsia="宋体" w:cs="宋体"/>
                <w:sz w:val="24"/>
                <w:szCs w:val="24"/>
              </w:rPr>
              <w:t>最后报价</w:t>
            </w:r>
          </w:p>
          <w:p w14:paraId="763AAEBB">
            <w:pPr>
              <w:pStyle w:val="75"/>
              <w:spacing w:line="360" w:lineRule="auto"/>
              <w:ind w:firstLine="461"/>
              <w:rPr>
                <w:rFonts w:hint="eastAsia" w:ascii="宋体" w:eastAsia="宋体" w:cs="宋体"/>
                <w:sz w:val="24"/>
                <w:szCs w:val="24"/>
              </w:rPr>
            </w:pPr>
            <w:r>
              <w:rPr>
                <w:rFonts w:hint="eastAsia" w:ascii="宋体" w:eastAsia="宋体" w:cs="宋体"/>
                <w:sz w:val="24"/>
                <w:szCs w:val="24"/>
              </w:rPr>
              <w:t>总报价（小写）：¥：</w:t>
            </w:r>
          </w:p>
          <w:p w14:paraId="1D2AFF39">
            <w:pPr>
              <w:pStyle w:val="75"/>
              <w:spacing w:line="360" w:lineRule="auto"/>
              <w:ind w:firstLine="461"/>
              <w:rPr>
                <w:rFonts w:hint="eastAsia" w:ascii="宋体" w:eastAsia="宋体" w:cs="宋体"/>
                <w:sz w:val="24"/>
                <w:szCs w:val="24"/>
              </w:rPr>
            </w:pPr>
          </w:p>
          <w:p w14:paraId="0587B0F1">
            <w:pPr>
              <w:pStyle w:val="75"/>
              <w:spacing w:line="360" w:lineRule="auto"/>
              <w:ind w:firstLine="461"/>
              <w:rPr>
                <w:rFonts w:hint="eastAsia" w:ascii="宋体" w:eastAsia="宋体" w:cs="宋体"/>
                <w:sz w:val="24"/>
                <w:szCs w:val="24"/>
              </w:rPr>
            </w:pPr>
            <w:r>
              <w:rPr>
                <w:rFonts w:hint="eastAsia" w:ascii="宋体" w:eastAsia="宋体" w:cs="宋体"/>
                <w:sz w:val="24"/>
                <w:szCs w:val="24"/>
              </w:rPr>
              <w:t>总报价（大写）：人民币</w:t>
            </w:r>
          </w:p>
          <w:p w14:paraId="174BE5B5">
            <w:pPr>
              <w:pStyle w:val="75"/>
              <w:spacing w:line="360" w:lineRule="auto"/>
              <w:ind w:firstLine="461"/>
              <w:rPr>
                <w:rFonts w:hint="eastAsia" w:ascii="宋体" w:eastAsia="宋体" w:cs="宋体"/>
                <w:sz w:val="24"/>
                <w:szCs w:val="24"/>
              </w:rPr>
            </w:pPr>
            <w:r>
              <w:rPr>
                <w:rFonts w:hint="eastAsia" w:ascii="宋体" w:eastAsia="宋体" w:cs="宋体"/>
                <w:sz w:val="24"/>
                <w:szCs w:val="24"/>
              </w:rPr>
              <w:t>相关补充说明：</w:t>
            </w:r>
          </w:p>
        </w:tc>
      </w:tr>
      <w:tr w14:paraId="6CD40B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2583" w:hRule="atLeast"/>
        </w:trPr>
        <w:tc>
          <w:tcPr>
            <w:tcW w:w="9180" w:type="dxa"/>
            <w:gridSpan w:val="4"/>
          </w:tcPr>
          <w:p w14:paraId="4F8DA9B5">
            <w:pPr>
              <w:pStyle w:val="75"/>
              <w:spacing w:line="276" w:lineRule="auto"/>
              <w:ind w:firstLine="461"/>
              <w:rPr>
                <w:rFonts w:hint="eastAsia" w:ascii="宋体" w:eastAsia="宋体" w:cs="宋体"/>
                <w:sz w:val="24"/>
                <w:szCs w:val="24"/>
              </w:rPr>
            </w:pPr>
          </w:p>
          <w:p w14:paraId="73A9EFC0">
            <w:pPr>
              <w:pStyle w:val="75"/>
              <w:spacing w:line="276" w:lineRule="auto"/>
              <w:ind w:firstLine="461"/>
              <w:rPr>
                <w:rFonts w:hint="eastAsia" w:ascii="宋体" w:eastAsia="宋体" w:cs="宋体"/>
                <w:sz w:val="24"/>
                <w:szCs w:val="24"/>
              </w:rPr>
            </w:pPr>
            <w:r>
              <w:rPr>
                <w:rFonts w:hint="eastAsia" w:ascii="宋体" w:eastAsia="宋体" w:cs="宋体"/>
                <w:sz w:val="24"/>
                <w:szCs w:val="24"/>
              </w:rPr>
              <w:t>供应商名称：</w:t>
            </w:r>
          </w:p>
          <w:p w14:paraId="3018D9B2">
            <w:pPr>
              <w:pStyle w:val="75"/>
              <w:spacing w:line="276" w:lineRule="auto"/>
              <w:ind w:firstLine="461"/>
              <w:rPr>
                <w:rFonts w:hint="eastAsia" w:ascii="宋体" w:eastAsia="宋体" w:cs="宋体"/>
                <w:sz w:val="24"/>
                <w:szCs w:val="24"/>
              </w:rPr>
            </w:pPr>
          </w:p>
          <w:p w14:paraId="0F3AE3F1">
            <w:pPr>
              <w:pStyle w:val="75"/>
              <w:spacing w:line="276" w:lineRule="auto"/>
              <w:ind w:firstLine="461"/>
              <w:rPr>
                <w:rFonts w:hint="eastAsia" w:ascii="宋体" w:eastAsia="宋体" w:cs="宋体"/>
                <w:sz w:val="24"/>
                <w:szCs w:val="24"/>
              </w:rPr>
            </w:pPr>
            <w:r>
              <w:rPr>
                <w:rFonts w:hint="eastAsia" w:ascii="宋体" w:eastAsia="宋体" w:cs="宋体"/>
                <w:sz w:val="24"/>
                <w:szCs w:val="24"/>
              </w:rPr>
              <w:t>法定代表人（或委托代理人）（签字或盖章）：</w:t>
            </w:r>
          </w:p>
          <w:p w14:paraId="7A0E2AA5">
            <w:pPr>
              <w:pStyle w:val="75"/>
              <w:spacing w:line="276" w:lineRule="auto"/>
              <w:ind w:firstLine="461"/>
              <w:rPr>
                <w:rFonts w:hint="eastAsia" w:ascii="宋体" w:eastAsia="宋体" w:cs="宋体"/>
                <w:sz w:val="24"/>
                <w:szCs w:val="24"/>
              </w:rPr>
            </w:pPr>
          </w:p>
          <w:p w14:paraId="272F0844">
            <w:pPr>
              <w:pStyle w:val="75"/>
              <w:spacing w:line="276" w:lineRule="auto"/>
              <w:ind w:firstLine="461"/>
              <w:rPr>
                <w:rFonts w:hint="eastAsia" w:ascii="宋体" w:eastAsia="宋体" w:cs="宋体"/>
                <w:sz w:val="24"/>
                <w:szCs w:val="24"/>
              </w:rPr>
            </w:pPr>
            <w:r>
              <w:rPr>
                <w:rFonts w:hint="eastAsia" w:ascii="宋体" w:eastAsia="宋体" w:cs="宋体"/>
                <w:sz w:val="24"/>
                <w:szCs w:val="24"/>
              </w:rPr>
              <w:t>联系电话：</w:t>
            </w:r>
          </w:p>
          <w:p w14:paraId="02F42E10">
            <w:pPr>
              <w:pStyle w:val="75"/>
              <w:spacing w:line="360" w:lineRule="auto"/>
              <w:ind w:firstLine="461"/>
              <w:jc w:val="center"/>
              <w:rPr>
                <w:rFonts w:hint="eastAsia" w:ascii="宋体" w:eastAsia="宋体" w:cs="宋体"/>
                <w:sz w:val="24"/>
                <w:szCs w:val="24"/>
              </w:rPr>
            </w:pPr>
            <w:r>
              <w:rPr>
                <w:rFonts w:hint="eastAsia" w:ascii="宋体" w:eastAsia="宋体" w:cs="宋体"/>
                <w:sz w:val="24"/>
                <w:szCs w:val="24"/>
              </w:rPr>
              <w:t xml:space="preserve">                                                       年  月  日</w:t>
            </w:r>
          </w:p>
        </w:tc>
      </w:tr>
    </w:tbl>
    <w:p w14:paraId="66A23717">
      <w:pPr>
        <w:rPr>
          <w:rFonts w:hint="eastAsia" w:cs="宋体"/>
        </w:rPr>
      </w:pPr>
      <w:r>
        <w:rPr>
          <w:rFonts w:hint="eastAsia" w:cs="宋体"/>
        </w:rPr>
        <w:t>备注：</w:t>
      </w:r>
    </w:p>
    <w:p w14:paraId="298F015A">
      <w:pPr>
        <w:rPr>
          <w:rFonts w:hint="eastAsia" w:cs="宋体"/>
        </w:rPr>
      </w:pPr>
      <w:r>
        <w:rPr>
          <w:rFonts w:hint="eastAsia" w:cs="宋体"/>
        </w:rPr>
        <w:t>1、大写数字：</w:t>
      </w:r>
    </w:p>
    <w:p w14:paraId="3B4E51C2">
      <w:pPr>
        <w:pStyle w:val="75"/>
        <w:spacing w:line="276" w:lineRule="auto"/>
        <w:ind w:firstLine="480" w:firstLineChars="200"/>
        <w:rPr>
          <w:rFonts w:hint="eastAsia" w:ascii="宋体" w:eastAsia="宋体" w:cs="宋体"/>
          <w:sz w:val="24"/>
          <w:szCs w:val="24"/>
        </w:rPr>
      </w:pPr>
      <w:r>
        <w:rPr>
          <w:rFonts w:hint="eastAsia" w:ascii="宋体" w:eastAsia="宋体" w:cs="宋体"/>
          <w:sz w:val="24"/>
          <w:szCs w:val="24"/>
        </w:rPr>
        <w:t xml:space="preserve">壹 贰 叁 肆 伍 陆 柒 捌 玖 零、亿、万、仟、佰、拾； </w:t>
      </w:r>
    </w:p>
    <w:p w14:paraId="1C1CB663">
      <w:pPr>
        <w:pStyle w:val="75"/>
        <w:spacing w:line="276" w:lineRule="auto"/>
        <w:ind w:firstLine="0" w:firstLineChars="0"/>
        <w:rPr>
          <w:rFonts w:hint="eastAsia" w:ascii="宋体" w:eastAsia="宋体" w:cs="宋体"/>
          <w:sz w:val="24"/>
          <w:szCs w:val="24"/>
        </w:rPr>
      </w:pPr>
      <w:r>
        <w:rPr>
          <w:rFonts w:hint="eastAsia" w:ascii="宋体" w:eastAsia="宋体" w:cs="宋体"/>
          <w:sz w:val="24"/>
          <w:szCs w:val="24"/>
        </w:rPr>
        <w:t>2 、磋商后最终商务、技术应答包含但不限于：付款、交货期、设备、方案及服务、其他商务条款等方面的内容，如磋商后无调整，则填写无更改，否则填写实际磋商内容。</w:t>
      </w:r>
    </w:p>
    <w:p w14:paraId="4AF77FE5">
      <w:pPr>
        <w:pStyle w:val="75"/>
        <w:spacing w:line="276" w:lineRule="auto"/>
        <w:ind w:firstLine="0" w:firstLineChars="0"/>
        <w:rPr>
          <w:rFonts w:hint="eastAsia" w:ascii="宋体" w:eastAsia="宋体" w:cs="宋体"/>
          <w:sz w:val="24"/>
          <w:szCs w:val="24"/>
        </w:rPr>
      </w:pPr>
      <w:r>
        <w:rPr>
          <w:rFonts w:hint="eastAsia" w:ascii="宋体" w:eastAsia="宋体" w:cs="宋体"/>
          <w:sz w:val="24"/>
          <w:szCs w:val="24"/>
        </w:rPr>
        <w:t>3、供应商填完此表应在磋商应答、报价大写及小写、公司名称及签字处按上手印。</w:t>
      </w:r>
    </w:p>
    <w:p w14:paraId="49D9AF1F">
      <w:pPr>
        <w:widowControl/>
        <w:spacing w:line="240" w:lineRule="auto"/>
        <w:rPr>
          <w:rFonts w:ascii="Cambria" w:hAnsi="Cambria"/>
          <w:b/>
          <w:bCs/>
          <w:kern w:val="0"/>
          <w:sz w:val="28"/>
          <w:szCs w:val="32"/>
        </w:rPr>
      </w:pPr>
      <w:r>
        <w:br w:type="page"/>
      </w:r>
    </w:p>
    <w:p w14:paraId="11EDACBE">
      <w:pPr>
        <w:pStyle w:val="3"/>
      </w:pPr>
      <w:r>
        <w:rPr>
          <w:rFonts w:hint="eastAsia"/>
        </w:rPr>
        <w:t>附件3、资格承诺函</w:t>
      </w:r>
    </w:p>
    <w:p w14:paraId="42826EBB">
      <w:pPr>
        <w:rPr>
          <w:rFonts w:hint="eastAsia"/>
        </w:rPr>
      </w:pPr>
      <w:r>
        <w:rPr>
          <w:rFonts w:hint="eastAsia"/>
        </w:rPr>
        <w:t>致：</w:t>
      </w:r>
      <w:r>
        <w:rPr>
          <w:rFonts w:hint="eastAsia"/>
          <w:u w:val="single"/>
        </w:rPr>
        <w:t>（采购人、采购代理机构）</w:t>
      </w:r>
    </w:p>
    <w:p w14:paraId="64DE45BD">
      <w:pPr>
        <w:ind w:firstLine="424" w:firstLineChars="177"/>
        <w:rPr>
          <w:rFonts w:hint="eastAsia"/>
        </w:rPr>
      </w:pPr>
      <w:r>
        <w:rPr>
          <w:rFonts w:hint="eastAsia"/>
        </w:rPr>
        <w:t>我单位参与</w:t>
      </w:r>
      <w:r>
        <w:rPr>
          <w:rFonts w:hint="eastAsia"/>
          <w:u w:val="single"/>
        </w:rPr>
        <w:t>（项目名称）（项目编号：</w:t>
      </w:r>
      <w:r>
        <w:rPr>
          <w:u w:val="single"/>
        </w:rPr>
        <w:t>）</w:t>
      </w:r>
      <w:r>
        <w:t>项目的政府采购活动，现承诺如下：</w:t>
      </w:r>
    </w:p>
    <w:p w14:paraId="35D323E8">
      <w:pPr>
        <w:ind w:firstLine="480" w:firstLineChars="200"/>
        <w:rPr>
          <w:rFonts w:hint="eastAsia"/>
        </w:rPr>
      </w:pPr>
      <w:r>
        <w:t>1.我单位具有符合《中华人民共和国政府采购法》《中华人民共和国政府采购法实施条例》及采购文件资格要求规定的良好的商业信誉和健全的财务会计制度。</w:t>
      </w:r>
    </w:p>
    <w:p w14:paraId="45492D64">
      <w:pPr>
        <w:ind w:firstLine="480" w:firstLineChars="200"/>
        <w:rPr>
          <w:rFonts w:hint="eastAsia"/>
        </w:rPr>
      </w:pPr>
      <w:r>
        <w:t>2.我单位具有符合《中华人民共和国政府采购法》《中华人民共和国政府采购法实施条例》及采购文件资格要求规定的履行合同所必需的设备和专业技术能力。</w:t>
      </w:r>
    </w:p>
    <w:p w14:paraId="496E6BF6">
      <w:pPr>
        <w:ind w:firstLine="480" w:firstLineChars="200"/>
        <w:rPr>
          <w:rFonts w:hint="eastAsia"/>
        </w:rPr>
      </w:pPr>
      <w:r>
        <w:t>3.我单位具有符合《中华人民共和国政府采购法》《中华人民共和国政府采购法实施条例》及采购文件资格要求规定的依法缴纳税收和社会保障资金的相关证明材料。</w:t>
      </w:r>
    </w:p>
    <w:p w14:paraId="2BD30748">
      <w:pPr>
        <w:ind w:firstLine="480" w:firstLineChars="200"/>
        <w:rPr>
          <w:rFonts w:hint="eastAsia"/>
        </w:rPr>
      </w:pPr>
      <w:r>
        <w:t>4.我单位符合《中华人民共和国政府采购法》《中华人民共和国政府采购法实施条例》及采购文件资格要求规定的在参加政府采购活动前三年内，在经营活动中没有重大违法记录</w:t>
      </w:r>
      <w:r>
        <w:rPr>
          <w:rFonts w:hint="eastAsia"/>
        </w:rPr>
        <w:t>及环保类行政处罚记录</w:t>
      </w:r>
      <w:r>
        <w:t>。</w:t>
      </w:r>
    </w:p>
    <w:p w14:paraId="7847699B">
      <w:pPr>
        <w:ind w:firstLine="480" w:firstLineChars="200"/>
        <w:rPr>
          <w:rFonts w:hint="eastAsia"/>
        </w:rPr>
      </w:pPr>
      <w:r>
        <w:t>5.我单位没有被列入失信被执行人</w:t>
      </w:r>
      <w:r>
        <w:rPr>
          <w:rFonts w:hint="eastAsia"/>
        </w:rPr>
        <w:t>名单</w:t>
      </w:r>
      <w:r>
        <w:t>、</w:t>
      </w:r>
      <w:r>
        <w:rPr>
          <w:rFonts w:hint="eastAsia"/>
        </w:rPr>
        <w:t>重大税收违法失信主体名单</w:t>
      </w:r>
      <w:r>
        <w:t>以及政府采购严重违法失信行为记录名单。</w:t>
      </w:r>
    </w:p>
    <w:p w14:paraId="426776ED">
      <w:pPr>
        <w:ind w:firstLine="480" w:firstLineChars="200"/>
        <w:rPr>
          <w:rFonts w:hint="eastAsia"/>
        </w:rPr>
      </w:pPr>
      <w:r>
        <w:rPr>
          <w:rFonts w:hint="eastAsia"/>
        </w:rPr>
        <w:t>6</w:t>
      </w:r>
      <w:r>
        <w:t>.我单位</w:t>
      </w:r>
      <w:r>
        <w:rPr>
          <w:rFonts w:hint="eastAsia"/>
        </w:rPr>
        <w:t>符合法律、法规规定的其他条件</w:t>
      </w:r>
      <w:r>
        <w:t>。</w:t>
      </w:r>
    </w:p>
    <w:p w14:paraId="09A4CD4A">
      <w:pPr>
        <w:ind w:firstLine="480" w:firstLineChars="200"/>
        <w:rPr>
          <w:rFonts w:hint="eastAsia" w:cs="宋体"/>
        </w:rPr>
      </w:pPr>
      <w:r>
        <w:rPr>
          <w:rFonts w:hint="eastAsia" w:cs="宋体"/>
        </w:rPr>
        <w:t>7.投标(或参与采购活动)资格没有被取消、暂停，没有处于被责令停业、财产被接管、冻结、破产状态。</w:t>
      </w:r>
    </w:p>
    <w:p w14:paraId="55415951">
      <w:pPr>
        <w:ind w:firstLine="480" w:firstLineChars="200"/>
        <w:rPr>
          <w:rFonts w:hint="eastAsia"/>
        </w:rPr>
      </w:pPr>
      <w:r>
        <w:rPr>
          <w:rFonts w:hint="eastAsia"/>
        </w:rPr>
        <w:t>8</w:t>
      </w:r>
      <w:r>
        <w:t>.</w:t>
      </w:r>
      <w:r>
        <w:rPr>
          <w:rFonts w:hint="eastAsia"/>
        </w:rPr>
        <w:t>与我单位存在“单位负责人为同一人或者存在直接控股、管理关系”的其他单位信息如下</w:t>
      </w:r>
      <w:r>
        <w:t>(如无,填写“无”)</w:t>
      </w:r>
      <w:r>
        <w:rPr>
          <w:rFonts w:hint="eastAsia"/>
        </w:rPr>
        <w:t>，将不参加同一合同项下的政府采购活动</w:t>
      </w:r>
      <w:r>
        <w:t>:</w:t>
      </w:r>
    </w:p>
    <w:p w14:paraId="572AB101">
      <w:pPr>
        <w:ind w:firstLine="480" w:firstLineChars="200"/>
        <w:jc w:val="both"/>
        <w:rPr>
          <w:rFonts w:hint="eastAsia"/>
        </w:rPr>
      </w:pPr>
      <w:r>
        <w:rPr>
          <w:rFonts w:hint="eastAsia"/>
        </w:rPr>
        <w:t>（</w:t>
      </w:r>
      <w:r>
        <w:t>1</w:t>
      </w:r>
      <w:r>
        <w:rPr>
          <w:rFonts w:hint="eastAsia"/>
        </w:rPr>
        <w:t>）</w:t>
      </w:r>
      <w:r>
        <w:t>我单位的法定代表人(单位负责人)为同一人的其他单位如下：</w:t>
      </w:r>
      <w:r>
        <w:rPr>
          <w:u w:val="single"/>
        </w:rPr>
        <w:t xml:space="preserve">            </w:t>
      </w:r>
      <w:r>
        <w:t>。</w:t>
      </w:r>
    </w:p>
    <w:p w14:paraId="56154686">
      <w:pPr>
        <w:ind w:firstLine="480" w:firstLineChars="200"/>
        <w:jc w:val="both"/>
        <w:rPr>
          <w:rFonts w:hint="eastAsia"/>
        </w:rPr>
      </w:pPr>
      <w:r>
        <w:rPr>
          <w:rFonts w:hint="eastAsia"/>
        </w:rPr>
        <w:t>（2）</w:t>
      </w:r>
      <w:r>
        <w:t>我单位直接控股的其他单位如下：</w:t>
      </w:r>
      <w:r>
        <w:rPr>
          <w:u w:val="single"/>
        </w:rPr>
        <w:t xml:space="preserve">            </w:t>
      </w:r>
      <w:r>
        <w:t>。</w:t>
      </w:r>
    </w:p>
    <w:p w14:paraId="5A264788">
      <w:pPr>
        <w:ind w:firstLine="480" w:firstLineChars="200"/>
        <w:jc w:val="both"/>
        <w:rPr>
          <w:rFonts w:hint="eastAsia"/>
        </w:rPr>
      </w:pPr>
      <w:r>
        <w:rPr>
          <w:rFonts w:hint="eastAsia"/>
        </w:rPr>
        <w:t>（3）</w:t>
      </w:r>
      <w:r>
        <w:t>与我单位存在管理关系的其他单位如下：</w:t>
      </w:r>
      <w:r>
        <w:rPr>
          <w:u w:val="single"/>
        </w:rPr>
        <w:t xml:space="preserve">            </w:t>
      </w:r>
      <w:r>
        <w:t>。</w:t>
      </w:r>
    </w:p>
    <w:p w14:paraId="2566E22B">
      <w:pPr>
        <w:ind w:firstLine="480" w:firstLineChars="200"/>
        <w:rPr>
          <w:rFonts w:hint="eastAsia"/>
        </w:rPr>
      </w:pPr>
      <w:r>
        <w:rPr>
          <w:rFonts w:hint="eastAsia"/>
        </w:rPr>
        <w:t>9</w:t>
      </w:r>
      <w:r>
        <w:t>.</w:t>
      </w:r>
      <w:r>
        <w:rPr>
          <w:rFonts w:hint="eastAsia"/>
        </w:rPr>
        <w:t>我单位不属于为本项目提供整体设计、规范编制或者项目管理、监理、检测等服务的供应商。</w:t>
      </w:r>
    </w:p>
    <w:p w14:paraId="6138E2E3">
      <w:pPr>
        <w:ind w:firstLine="480" w:firstLineChars="200"/>
        <w:rPr>
          <w:rFonts w:hint="eastAsia"/>
        </w:rPr>
      </w:pPr>
      <w:r>
        <w:rPr>
          <w:rFonts w:hint="eastAsia"/>
        </w:rPr>
        <w:t>10</w:t>
      </w:r>
      <w:r>
        <w:t>.</w:t>
      </w:r>
      <w:r>
        <w:rPr>
          <w:rFonts w:hint="eastAsia"/>
        </w:rPr>
        <w:t>本项目如为信息系统建设项目，我单位不属于该整体项目或其中分项目前期工作提供过设计、编制、管理等服务的法人及附属单位。</w:t>
      </w:r>
    </w:p>
    <w:p w14:paraId="569AD9BF">
      <w:pPr>
        <w:ind w:firstLine="480" w:firstLineChars="200"/>
        <w:rPr>
          <w:rFonts w:hint="eastAsia"/>
        </w:rPr>
      </w:pPr>
      <w:r>
        <w:rPr>
          <w:rFonts w:hint="eastAsia"/>
        </w:rPr>
        <w:t>11</w:t>
      </w:r>
      <w:r>
        <w:t>.如违反上述承诺，同意将相关失信行为纳入信用信息共享平台。</w:t>
      </w:r>
    </w:p>
    <w:p w14:paraId="0EE234D0">
      <w:pPr>
        <w:ind w:firstLine="480" w:firstLineChars="200"/>
        <w:rPr>
          <w:rFonts w:hint="eastAsia"/>
        </w:rPr>
      </w:pPr>
      <w:r>
        <w:rPr>
          <w:rFonts w:hint="eastAsia"/>
        </w:rPr>
        <w:t>12</w:t>
      </w:r>
      <w:r>
        <w:t>.同意此承诺书在公共资源中心的政府采购信息发布平台公示，接受社会各界监督。</w:t>
      </w:r>
    </w:p>
    <w:p w14:paraId="4E853092">
      <w:pPr>
        <w:ind w:firstLine="424" w:firstLineChars="177"/>
        <w:rPr>
          <w:rFonts w:hint="eastAsia"/>
        </w:rPr>
      </w:pPr>
      <w:r>
        <w:rPr>
          <w:rFonts w:hint="eastAsia"/>
        </w:rPr>
        <w:t>若我单位以上承诺不实，自愿承担提供虚假材料谋取中标、成交的法律责任。</w:t>
      </w:r>
    </w:p>
    <w:p w14:paraId="2D103BC5">
      <w:pPr>
        <w:ind w:firstLine="424" w:firstLineChars="177"/>
        <w:rPr>
          <w:rFonts w:hint="eastAsia"/>
        </w:rPr>
      </w:pPr>
      <w:r>
        <w:rPr>
          <w:rFonts w:hint="eastAsia"/>
        </w:rPr>
        <w:t>注：第4条所述“重大违法记录”是指未因违法经营受到刑事处罚或者责令停产停业、吊销许可证或者执照、较大数额罚款等行政处罚。其中较大数额罚款是指达到处罚地行政处罚听证范围中“较大数额罚款”标准；法律、法规、规章、国务院有关行政主管部门对“较大数额罚款”标准另有规定的，从其规定。供应商在参加政府采购活动前3年内因违法经营被禁止在一定期限内参加政府采购活动，期限届满的，可以参加政府采购活动。</w:t>
      </w:r>
    </w:p>
    <w:p w14:paraId="0C8408AF">
      <w:pPr>
        <w:ind w:firstLine="480" w:firstLineChars="200"/>
        <w:rPr>
          <w:rFonts w:hint="eastAsia" w:cs="宋体"/>
        </w:rPr>
      </w:pPr>
      <w:r>
        <w:rPr>
          <w:rFonts w:hint="eastAsia" w:cs="宋体"/>
        </w:rPr>
        <w:t>供应商可自行选择是否提供本承诺函，若不提供本承诺函，应按《中华人民共和国政府采购法》《中华人民共和国政府采购法实施条例》及采购文件资格要求提供相应的证明材料（证明材料有时间效应的，应提供自发布公告之日起最近1年内的证明材料）。提供以上某项资格要求对应的证明材料时供应商可以删减承诺函中对应的承诺事项并调整序号。</w:t>
      </w:r>
    </w:p>
    <w:p w14:paraId="47932B0F">
      <w:pPr>
        <w:ind w:firstLine="480" w:firstLineChars="200"/>
        <w:rPr>
          <w:rFonts w:hint="eastAsia" w:cs="宋体"/>
        </w:rPr>
      </w:pPr>
    </w:p>
    <w:p w14:paraId="7E91CCED">
      <w:pPr>
        <w:ind w:firstLine="480" w:firstLineChars="200"/>
        <w:rPr>
          <w:rFonts w:hint="eastAsia"/>
        </w:rPr>
      </w:pPr>
      <w:r>
        <w:rPr>
          <w:rFonts w:hint="eastAsia"/>
        </w:rPr>
        <w:t>承诺供应商：</w:t>
      </w:r>
      <w:r>
        <w:rPr>
          <w:rFonts w:hint="eastAsia"/>
          <w:u w:val="single"/>
        </w:rPr>
        <w:t xml:space="preserve">                     </w:t>
      </w:r>
      <w:r>
        <w:rPr>
          <w:rFonts w:hint="eastAsia"/>
        </w:rPr>
        <w:t>（全称并加盖公章）</w:t>
      </w:r>
    </w:p>
    <w:p w14:paraId="56F6165B">
      <w:pPr>
        <w:ind w:firstLine="480" w:firstLineChars="200"/>
        <w:rPr>
          <w:rFonts w:hint="eastAsia"/>
        </w:rPr>
      </w:pPr>
      <w:r>
        <w:rPr>
          <w:rFonts w:hint="eastAsia"/>
        </w:rPr>
        <w:t>单位负责人或授权代表：</w:t>
      </w:r>
      <w:r>
        <w:rPr>
          <w:rFonts w:hint="eastAsia"/>
          <w:u w:val="single"/>
        </w:rPr>
        <w:t xml:space="preserve">                     </w:t>
      </w:r>
      <w:r>
        <w:rPr>
          <w:rFonts w:hint="eastAsia"/>
        </w:rPr>
        <w:t>（签字或盖章）</w:t>
      </w:r>
    </w:p>
    <w:p w14:paraId="06F45BFE">
      <w:pPr>
        <w:ind w:firstLine="480" w:firstLineChars="200"/>
        <w:rPr>
          <w:rStyle w:val="37"/>
          <w:rFonts w:hint="eastAsia"/>
          <w:kern w:val="0"/>
        </w:rPr>
      </w:pPr>
      <w:r>
        <w:rPr>
          <w:rFonts w:hint="eastAsia"/>
        </w:rPr>
        <w:t>日期：       年    月    日</w:t>
      </w:r>
    </w:p>
    <w:p w14:paraId="260853BE">
      <w:pPr>
        <w:widowControl/>
        <w:spacing w:line="240" w:lineRule="auto"/>
        <w:rPr>
          <w:rFonts w:hint="eastAsia" w:cs="宋体"/>
          <w:sz w:val="28"/>
          <w:szCs w:val="28"/>
        </w:rPr>
      </w:pPr>
      <w:r>
        <w:rPr>
          <w:rFonts w:cs="宋体"/>
          <w:sz w:val="28"/>
          <w:szCs w:val="28"/>
        </w:rPr>
        <w:br w:type="page"/>
      </w:r>
    </w:p>
    <w:p w14:paraId="7C9BFD23">
      <w:pPr>
        <w:pStyle w:val="3"/>
        <w:jc w:val="both"/>
      </w:pPr>
      <w:r>
        <w:rPr>
          <w:rFonts w:hint="eastAsia"/>
        </w:rPr>
        <w:t>附件4、中小企业声明函（货物）</w:t>
      </w:r>
    </w:p>
    <w:p w14:paraId="73D9D8BB">
      <w:pPr>
        <w:jc w:val="center"/>
        <w:rPr>
          <w:rFonts w:hint="eastAsia" w:cs="宋体"/>
        </w:rPr>
      </w:pPr>
    </w:p>
    <w:p w14:paraId="009ACD73">
      <w:pPr>
        <w:pStyle w:val="8"/>
        <w:rPr>
          <w:rFonts w:hint="eastAsia"/>
        </w:rPr>
      </w:pPr>
      <w:r>
        <w:rPr>
          <w:rFonts w:hint="eastAsia"/>
        </w:rPr>
        <w:t>　本公司（联合体）郑重声明，根据《政府采购促进中小企业发展管理办法》（财库﹝2020﹞46号）的规定，本公司（联合体）参加</w:t>
      </w:r>
      <w:r>
        <w:rPr>
          <w:rFonts w:hint="eastAsia"/>
          <w:i/>
          <w:iCs/>
          <w:u w:val="single"/>
        </w:rPr>
        <w:t>（单位名称）</w:t>
      </w:r>
      <w:r>
        <w:rPr>
          <w:rFonts w:hint="eastAsia"/>
        </w:rPr>
        <w:t>的</w:t>
      </w:r>
      <w:r>
        <w:rPr>
          <w:rFonts w:hint="eastAsia"/>
          <w:i/>
          <w:iCs/>
          <w:u w:val="single"/>
        </w:rPr>
        <w:t>（项目名称）</w:t>
      </w:r>
      <w:r>
        <w:rPr>
          <w:rFonts w:hint="eastAsia"/>
        </w:rPr>
        <w:t>采购活动，提供的货物全部由符合政策要求的中小企业制造。相关企业（含联合体中的中小企业、签订分包意向协议的中小企业）的具体情况如下：</w:t>
      </w:r>
    </w:p>
    <w:p w14:paraId="1237A8D1">
      <w:pPr>
        <w:pStyle w:val="8"/>
        <w:numPr>
          <w:ilvl w:val="0"/>
          <w:numId w:val="30"/>
        </w:numPr>
        <w:spacing w:before="0"/>
        <w:jc w:val="both"/>
        <w:rPr>
          <w:rFonts w:hint="eastAsia"/>
        </w:rPr>
      </w:pPr>
      <w:r>
        <w:rPr>
          <w:rFonts w:hint="eastAsia"/>
          <w:i/>
          <w:iCs/>
          <w:u w:val="single"/>
        </w:rPr>
        <w:t>（标的名称）</w:t>
      </w:r>
      <w:r>
        <w:rPr>
          <w:rFonts w:hint="eastAsia"/>
        </w:rPr>
        <w:t>，属于</w:t>
      </w:r>
      <w:r>
        <w:rPr>
          <w:rFonts w:hint="eastAsia"/>
          <w:i/>
          <w:iCs/>
        </w:rPr>
        <w:t>（</w:t>
      </w:r>
      <w:r>
        <w:rPr>
          <w:rFonts w:hint="eastAsia"/>
          <w:i/>
          <w:iCs/>
          <w:u w:val="single"/>
        </w:rPr>
        <w:t>采购文件中明确的所属行业</w:t>
      </w:r>
      <w:r>
        <w:rPr>
          <w:rFonts w:hint="eastAsia"/>
          <w:i/>
          <w:iCs/>
        </w:rPr>
        <w:t>）</w:t>
      </w:r>
      <w:r>
        <w:rPr>
          <w:rFonts w:hint="eastAsia"/>
        </w:rPr>
        <w:t>；制造商为</w:t>
      </w:r>
      <w:r>
        <w:rPr>
          <w:rFonts w:hint="eastAsia"/>
          <w:i/>
          <w:iCs/>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i/>
          <w:iCs/>
        </w:rPr>
        <w:t>（</w:t>
      </w:r>
      <w:r>
        <w:rPr>
          <w:rFonts w:hint="eastAsia"/>
          <w:i/>
          <w:iCs/>
          <w:u w:val="single"/>
        </w:rPr>
        <w:t>中型企业、小型企业、微型企业</w:t>
      </w:r>
      <w:r>
        <w:rPr>
          <w:rFonts w:hint="eastAsia"/>
          <w:i/>
          <w:iCs/>
        </w:rPr>
        <w:t>）</w:t>
      </w:r>
      <w:r>
        <w:rPr>
          <w:rFonts w:hint="eastAsia"/>
        </w:rPr>
        <w:t>；</w:t>
      </w:r>
    </w:p>
    <w:p w14:paraId="15A1A30A">
      <w:pPr>
        <w:pStyle w:val="8"/>
        <w:numPr>
          <w:ilvl w:val="0"/>
          <w:numId w:val="30"/>
        </w:numPr>
        <w:spacing w:before="0"/>
        <w:jc w:val="both"/>
        <w:rPr>
          <w:rFonts w:hint="eastAsia"/>
        </w:rPr>
      </w:pPr>
      <w:r>
        <w:rPr>
          <w:rFonts w:hint="eastAsia"/>
          <w:i/>
          <w:iCs/>
          <w:u w:val="single"/>
        </w:rPr>
        <w:t>（标的名称）</w:t>
      </w:r>
      <w:r>
        <w:rPr>
          <w:rFonts w:hint="eastAsia"/>
        </w:rPr>
        <w:t>，属于</w:t>
      </w:r>
      <w:r>
        <w:rPr>
          <w:rFonts w:hint="eastAsia"/>
          <w:i/>
          <w:iCs/>
        </w:rPr>
        <w:t>（</w:t>
      </w:r>
      <w:r>
        <w:rPr>
          <w:rFonts w:hint="eastAsia"/>
          <w:i/>
          <w:iCs/>
          <w:u w:val="single"/>
        </w:rPr>
        <w:t>采购文件中明确的所属行业</w:t>
      </w:r>
      <w:r>
        <w:rPr>
          <w:rFonts w:hint="eastAsia"/>
          <w:i/>
          <w:iCs/>
        </w:rPr>
        <w:t>）</w:t>
      </w:r>
      <w:r>
        <w:rPr>
          <w:rFonts w:hint="eastAsia"/>
        </w:rPr>
        <w:t>；制造商为</w:t>
      </w:r>
      <w:r>
        <w:rPr>
          <w:rFonts w:hint="eastAsia"/>
          <w:i/>
          <w:iCs/>
          <w:u w:val="single"/>
        </w:rPr>
        <w:t>（企业名称）</w:t>
      </w:r>
      <w:r>
        <w:rPr>
          <w:rFonts w:hint="eastAsia"/>
        </w:rPr>
        <w:t>，从业人员</w:t>
      </w:r>
      <w:r>
        <w:rPr>
          <w:rFonts w:hint="eastAsia"/>
          <w:u w:val="single"/>
        </w:rPr>
        <w:t xml:space="preserve">   </w:t>
      </w:r>
      <w:r>
        <w:rPr>
          <w:rFonts w:hint="eastAsia"/>
        </w:rPr>
        <w:t>人，营业收入为</w:t>
      </w:r>
      <w:r>
        <w:rPr>
          <w:rFonts w:hint="eastAsia"/>
          <w:u w:val="single"/>
        </w:rPr>
        <w:t xml:space="preserve">   </w:t>
      </w:r>
      <w:r>
        <w:rPr>
          <w:rFonts w:hint="eastAsia"/>
        </w:rPr>
        <w:t>万元，资产总额为</w:t>
      </w:r>
      <w:r>
        <w:rPr>
          <w:rFonts w:hint="eastAsia"/>
          <w:u w:val="single"/>
        </w:rPr>
        <w:t xml:space="preserve">   </w:t>
      </w:r>
      <w:r>
        <w:rPr>
          <w:rFonts w:hint="eastAsia"/>
        </w:rPr>
        <w:t>万元，属于</w:t>
      </w:r>
      <w:r>
        <w:rPr>
          <w:rFonts w:hint="eastAsia"/>
          <w:i/>
          <w:iCs/>
        </w:rPr>
        <w:t>（</w:t>
      </w:r>
      <w:r>
        <w:rPr>
          <w:rFonts w:hint="eastAsia"/>
          <w:i/>
          <w:iCs/>
          <w:u w:val="single"/>
        </w:rPr>
        <w:t>中型企业、小型企业、微型企业</w:t>
      </w:r>
      <w:r>
        <w:rPr>
          <w:rFonts w:hint="eastAsia"/>
          <w:i/>
          <w:iCs/>
        </w:rPr>
        <w:t>）</w:t>
      </w:r>
      <w:r>
        <w:rPr>
          <w:rFonts w:hint="eastAsia"/>
        </w:rPr>
        <w:t>；</w:t>
      </w:r>
    </w:p>
    <w:p w14:paraId="0711151D">
      <w:pPr>
        <w:pStyle w:val="8"/>
        <w:ind w:firstLine="630" w:firstLineChars="300"/>
        <w:rPr>
          <w:rFonts w:hint="eastAsia"/>
        </w:rPr>
      </w:pPr>
      <w:r>
        <w:rPr>
          <w:rFonts w:hint="eastAsia"/>
        </w:rPr>
        <w:t>……</w:t>
      </w:r>
    </w:p>
    <w:p w14:paraId="15AF9BCA">
      <w:pPr>
        <w:pStyle w:val="8"/>
        <w:rPr>
          <w:rFonts w:hint="eastAsia"/>
        </w:rPr>
      </w:pPr>
      <w:r>
        <w:rPr>
          <w:rFonts w:hint="eastAsia"/>
        </w:rPr>
        <w:t>以上企业，不属于大企业的分支机构，不存在控股股东为大企业的情形，也不存在与大企业的负责人为同一人的情形。</w:t>
      </w:r>
    </w:p>
    <w:p w14:paraId="0C071646">
      <w:pPr>
        <w:pStyle w:val="8"/>
        <w:rPr>
          <w:rFonts w:hint="eastAsia"/>
        </w:rPr>
      </w:pPr>
      <w:r>
        <w:rPr>
          <w:rFonts w:hint="eastAsia"/>
        </w:rPr>
        <w:t>本企业对上述声明内容的真实性负责。如有虚假，将依法承担相应责任。</w:t>
      </w:r>
    </w:p>
    <w:p w14:paraId="1C9A8FED">
      <w:pPr>
        <w:pStyle w:val="8"/>
        <w:ind w:firstLine="0" w:firstLineChars="0"/>
        <w:rPr>
          <w:rFonts w:hint="eastAsia"/>
        </w:rPr>
      </w:pPr>
    </w:p>
    <w:p w14:paraId="62B6A656">
      <w:pPr>
        <w:pStyle w:val="8"/>
        <w:wordWrap w:val="0"/>
        <w:ind w:firstLine="0" w:firstLineChars="0"/>
        <w:jc w:val="right"/>
        <w:rPr>
          <w:rFonts w:hint="eastAsia"/>
        </w:rPr>
      </w:pPr>
      <w:r>
        <w:rPr>
          <w:rFonts w:hint="eastAsia"/>
        </w:rPr>
        <w:t xml:space="preserve">企业名称（盖章）：               </w:t>
      </w:r>
    </w:p>
    <w:p w14:paraId="52878781">
      <w:pPr>
        <w:pStyle w:val="8"/>
        <w:wordWrap w:val="0"/>
        <w:ind w:firstLine="0" w:firstLineChars="0"/>
        <w:jc w:val="right"/>
        <w:rPr>
          <w:rFonts w:hint="eastAsia"/>
        </w:rPr>
      </w:pPr>
      <w:r>
        <w:rPr>
          <w:rFonts w:hint="eastAsia"/>
        </w:rPr>
        <w:t xml:space="preserve">日期：                           </w:t>
      </w:r>
    </w:p>
    <w:p w14:paraId="17061267">
      <w:pPr>
        <w:pStyle w:val="8"/>
        <w:ind w:firstLine="0" w:firstLineChars="0"/>
        <w:rPr>
          <w:rFonts w:hint="eastAsia"/>
        </w:rPr>
      </w:pPr>
    </w:p>
    <w:p w14:paraId="550CFE45">
      <w:pPr>
        <w:pStyle w:val="8"/>
        <w:rPr>
          <w:rFonts w:hint="eastAsia"/>
        </w:rPr>
      </w:pPr>
      <w:r>
        <w:rPr>
          <w:rFonts w:hint="eastAsia"/>
        </w:rPr>
        <w:t>备注：①从业人员、营业收入、资产总额填报上一年度数据，无上一年度数据的新成立企业可不填报。②供应商提供《中小企业声明函》内容不实的，属于“隐瞒真实情况，提供虚假资料的”情形，依照有关规定追究相应责任。③投标人应当自行核实是否属于小微企业，并认真填写中小企业声明函，中小企业划分标准按《关于印发中小企业划型标准规定的通知》(工信部联企业[2011]300号）执行。</w:t>
      </w:r>
    </w:p>
    <w:sectPr>
      <w:footerReference r:id="rId7" w:type="default"/>
      <w:pgSz w:w="11906" w:h="16838"/>
      <w:pgMar w:top="1418" w:right="1418" w:bottom="1418" w:left="1417" w:header="851" w:footer="419" w:gutter="0"/>
      <w:pgNumType w:start="1"/>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Courier New">
    <w:panose1 w:val="02070309020205020404"/>
    <w:charset w:val="00"/>
    <w:family w:val="modern"/>
    <w:pitch w:val="default"/>
    <w:sig w:usb0="E0002EFF" w:usb1="C0007843" w:usb2="00000009" w:usb3="00000000" w:csb0="400001FF" w:csb1="FFFF0000"/>
  </w:font>
  <w:font w:name="Arial">
    <w:panose1 w:val="020B0604020202020204"/>
    <w:charset w:val="00"/>
    <w:family w:val="swiss"/>
    <w:pitch w:val="default"/>
    <w:sig w:usb0="E0002EFF" w:usb1="C000785B" w:usb2="00000009" w:usb3="00000000" w:csb0="400001FF" w:csb1="FFFF0000"/>
  </w:font>
  <w:font w:name="Tahoma">
    <w:panose1 w:val="020B0604030504040204"/>
    <w:charset w:val="00"/>
    <w:family w:val="swiss"/>
    <w:pitch w:val="default"/>
    <w:sig w:usb0="E1002EFF" w:usb1="C000605B" w:usb2="00000029" w:usb3="00000000" w:csb0="200101FF" w:csb1="20280000"/>
  </w:font>
  <w:font w:name="仿宋_GB2312">
    <w:panose1 w:val="02010609030101010101"/>
    <w:charset w:val="86"/>
    <w:family w:val="modern"/>
    <w:pitch w:val="default"/>
    <w:sig w:usb0="00000001" w:usb1="080E0000" w:usb2="00000000" w:usb3="00000000" w:csb0="00040000" w:csb1="00000000"/>
  </w:font>
  <w:font w:name="MingLiU_HKSCS">
    <w:panose1 w:val="02020500000000000000"/>
    <w:charset w:val="88"/>
    <w:family w:val="roman"/>
    <w:pitch w:val="default"/>
    <w:sig w:usb0="A00002FF" w:usb1="28CFFCFA" w:usb2="00000016" w:usb3="00000000" w:csb0="00100001" w:csb1="00000000"/>
  </w:font>
  <w:font w:name="仿宋">
    <w:panose1 w:val="02010609060101010101"/>
    <w:charset w:val="86"/>
    <w:family w:val="modern"/>
    <w:pitch w:val="default"/>
    <w:sig w:usb0="800002BF" w:usb1="38CF7CFA" w:usb2="00000016" w:usb3="00000000" w:csb0="00040001" w:csb1="00000000"/>
  </w:font>
  <w:font w:name="华康简标题宋">
    <w:altName w:val="宋体"/>
    <w:panose1 w:val="00000000000000000000"/>
    <w:charset w:val="86"/>
    <w:family w:val="modern"/>
    <w:pitch w:val="default"/>
    <w:sig w:usb0="00000000" w:usb1="00000000" w:usb2="0000001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A23AA">
    <w:pPr>
      <w:pStyle w:val="18"/>
      <w:jc w:val="center"/>
      <w:rPr>
        <w:rFonts w:hint="eastAsia"/>
      </w:rPr>
    </w:pPr>
  </w:p>
  <w:p w14:paraId="18D23993">
    <w:pPr>
      <w:pStyle w:val="18"/>
      <w:rPr>
        <w:rFonts w:hint="eastAsi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D9A0515">
    <w:pPr>
      <w:pStyle w:val="18"/>
      <w:jc w:val="center"/>
      <w:rPr>
        <w:rFonts w:hint="eastAsia"/>
      </w:rPr>
    </w:pPr>
    <w:r>
      <w:rPr>
        <w:rFonts w:hint="eastAsia"/>
      </w:rPr>
      <w:t>第</w:t>
    </w:r>
    <w:r>
      <w:fldChar w:fldCharType="begin"/>
    </w:r>
    <w:r>
      <w:instrText xml:space="preserve">PAGE   \* MERGEFORMAT</w:instrText>
    </w:r>
    <w:r>
      <w:fldChar w:fldCharType="separate"/>
    </w:r>
    <w:r>
      <w:rPr>
        <w:lang w:val="zh-CN"/>
      </w:rPr>
      <w:t>1</w:t>
    </w:r>
    <w:r>
      <w:rPr>
        <w:lang w:val="zh-CN"/>
      </w:rPr>
      <w:fldChar w:fldCharType="end"/>
    </w:r>
    <w:r>
      <w:rPr>
        <w:rFonts w:hint="eastAsia"/>
      </w:rPr>
      <w:t>页，共</w:t>
    </w:r>
    <w:r>
      <w:fldChar w:fldCharType="begin"/>
    </w:r>
    <w:r>
      <w:rPr>
        <w:rFonts w:hint="eastAsia"/>
      </w:rPr>
      <w:instrText xml:space="preserve">=</w:instrText>
    </w:r>
    <w:r>
      <w:fldChar w:fldCharType="begin"/>
    </w:r>
    <w:r>
      <w:instrText xml:space="preserve"> NUMPAGES  \* Arabic  \* MERGEFORMAT </w:instrText>
    </w:r>
    <w:r>
      <w:fldChar w:fldCharType="separate"/>
    </w:r>
    <w:r>
      <w:rPr>
        <w:rFonts w:hint="eastAsia"/>
      </w:rPr>
      <w:instrText xml:space="preserve">63</w:instrText>
    </w:r>
    <w:r>
      <w:rPr>
        <w:rFonts w:hint="eastAsia"/>
      </w:rPr>
      <w:fldChar w:fldCharType="end"/>
    </w:r>
    <w:r>
      <w:rPr>
        <w:rFonts w:hint="eastAsia"/>
      </w:rPr>
      <w:instrText xml:space="preserve">-2</w:instrText>
    </w:r>
    <w:r>
      <w:fldChar w:fldCharType="separate"/>
    </w:r>
    <w:r>
      <w:rPr>
        <w:rFonts w:hint="eastAsia"/>
      </w:rPr>
      <w:t>61</w:t>
    </w:r>
    <w:r>
      <w:fldChar w:fldCharType="end"/>
    </w:r>
    <w:r>
      <w:rPr>
        <w:rFonts w:hint="eastAsia"/>
      </w:rPr>
      <w:t>页</w:t>
    </w:r>
  </w:p>
  <w:p w14:paraId="2B1536EE">
    <w:pPr>
      <w:pStyle w:val="18"/>
      <w:rPr>
        <w:rFonts w:hint="eastAsia"/>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pPr>
      <w:r>
        <w:separator/>
      </w:r>
    </w:p>
  </w:footnote>
  <w:footnote w:type="continuationSeparator" w:id="1">
    <w:p>
      <w:pPr>
        <w:spacing w:line="36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9396C">
    <w:pPr>
      <w:pStyle w:val="19"/>
      <w:pBdr>
        <w:top w:val="none" w:color="auto" w:sz="0" w:space="0"/>
        <w:left w:val="none" w:color="auto" w:sz="0" w:space="0"/>
        <w:bottom w:val="single" w:color="auto" w:sz="4" w:space="1"/>
        <w:right w:val="none" w:color="auto" w:sz="0" w:space="0"/>
      </w:pBdr>
      <w:spacing w:line="240" w:lineRule="auto"/>
      <w:rPr>
        <w:rFonts w:hint="eastAsia"/>
      </w:rPr>
    </w:pPr>
    <w:r>
      <w:rPr>
        <w:rFonts w:hint="eastAsia"/>
      </w:rPr>
      <w:t>项目编号：HNSHB-20250310                                                  海南省实博招标代理有限公司</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A036490"/>
    <w:multiLevelType w:val="singleLevel"/>
    <w:tmpl w:val="CA036490"/>
    <w:lvl w:ilvl="0" w:tentative="0">
      <w:start w:val="1"/>
      <w:numFmt w:val="decimal"/>
      <w:suff w:val="space"/>
      <w:lvlText w:val="%1."/>
      <w:lvlJc w:val="left"/>
    </w:lvl>
  </w:abstractNum>
  <w:abstractNum w:abstractNumId="1">
    <w:nsid w:val="0000000E"/>
    <w:multiLevelType w:val="multilevel"/>
    <w:tmpl w:val="0000000E"/>
    <w:lvl w:ilvl="0" w:tentative="0">
      <w:start w:val="1"/>
      <w:numFmt w:val="decimal"/>
      <w:pStyle w:val="82"/>
      <w:lvlText w:val="%1."/>
      <w:lvlJc w:val="left"/>
      <w:pPr>
        <w:tabs>
          <w:tab w:val="left" w:pos="709"/>
        </w:tabs>
        <w:ind w:left="709" w:hanging="709"/>
      </w:pPr>
      <w:rPr>
        <w:rFonts w:hint="eastAsia"/>
      </w:rPr>
    </w:lvl>
    <w:lvl w:ilvl="1" w:tentative="0">
      <w:start w:val="1"/>
      <w:numFmt w:val="decimal"/>
      <w:lvlText w:val="%1.%2"/>
      <w:lvlJc w:val="left"/>
      <w:pPr>
        <w:tabs>
          <w:tab w:val="left" w:pos="709"/>
        </w:tabs>
        <w:ind w:left="709" w:hanging="709"/>
      </w:pPr>
      <w:rPr>
        <w:rFonts w:hint="eastAsia"/>
        <w:color w:val="auto"/>
      </w:rPr>
    </w:lvl>
    <w:lvl w:ilvl="2" w:tentative="0">
      <w:start w:val="1"/>
      <w:numFmt w:val="decimal"/>
      <w:lvlText w:val="%1.%2.%3."/>
      <w:lvlJc w:val="left"/>
      <w:pPr>
        <w:tabs>
          <w:tab w:val="left" w:pos="425"/>
        </w:tabs>
        <w:ind w:left="425" w:hanging="425"/>
      </w:pPr>
      <w:rPr>
        <w:rFonts w:hint="eastAsia"/>
      </w:rPr>
    </w:lvl>
    <w:lvl w:ilvl="3" w:tentative="0">
      <w:start w:val="1"/>
      <w:numFmt w:val="decimal"/>
      <w:lvlText w:val="%1.%2.%3.%4."/>
      <w:lvlJc w:val="left"/>
      <w:pPr>
        <w:tabs>
          <w:tab w:val="left" w:pos="851"/>
        </w:tabs>
        <w:ind w:left="851" w:hanging="851"/>
      </w:pPr>
      <w:rPr>
        <w:rFonts w:hint="eastAsia"/>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2">
    <w:nsid w:val="081F4B3B"/>
    <w:multiLevelType w:val="multilevel"/>
    <w:tmpl w:val="081F4B3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3">
    <w:nsid w:val="11273095"/>
    <w:multiLevelType w:val="multilevel"/>
    <w:tmpl w:val="1127309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4">
    <w:nsid w:val="12882B7A"/>
    <w:multiLevelType w:val="multilevel"/>
    <w:tmpl w:val="12882B7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134C717F"/>
    <w:multiLevelType w:val="multilevel"/>
    <w:tmpl w:val="134C717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6">
    <w:nsid w:val="13A14547"/>
    <w:multiLevelType w:val="multilevel"/>
    <w:tmpl w:val="13A14547"/>
    <w:lvl w:ilvl="0" w:tentative="0">
      <w:start w:val="1"/>
      <w:numFmt w:val="chineseCountingThousand"/>
      <w:lvlText w:val="%1、"/>
      <w:lvlJc w:val="left"/>
      <w:pPr>
        <w:ind w:left="440" w:hanging="440"/>
      </w:p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7">
    <w:nsid w:val="1E207290"/>
    <w:multiLevelType w:val="multilevel"/>
    <w:tmpl w:val="1E207290"/>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8">
    <w:nsid w:val="1ECA742B"/>
    <w:multiLevelType w:val="multilevel"/>
    <w:tmpl w:val="1ECA742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9">
    <w:nsid w:val="1FB52A3E"/>
    <w:multiLevelType w:val="multilevel"/>
    <w:tmpl w:val="1FB52A3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0">
    <w:nsid w:val="29782843"/>
    <w:multiLevelType w:val="multilevel"/>
    <w:tmpl w:val="2978284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1">
    <w:nsid w:val="2C2F395C"/>
    <w:multiLevelType w:val="multilevel"/>
    <w:tmpl w:val="2C2F395C"/>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2">
    <w:nsid w:val="329539CA"/>
    <w:multiLevelType w:val="multilevel"/>
    <w:tmpl w:val="329539CA"/>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3">
    <w:nsid w:val="39302B92"/>
    <w:multiLevelType w:val="multilevel"/>
    <w:tmpl w:val="39302B92"/>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4">
    <w:nsid w:val="39D60EF5"/>
    <w:multiLevelType w:val="multilevel"/>
    <w:tmpl w:val="39D60EF5"/>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5">
    <w:nsid w:val="45A75F73"/>
    <w:multiLevelType w:val="multilevel"/>
    <w:tmpl w:val="45A75F7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6">
    <w:nsid w:val="471654AD"/>
    <w:multiLevelType w:val="multilevel"/>
    <w:tmpl w:val="471654A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7">
    <w:nsid w:val="492F6666"/>
    <w:multiLevelType w:val="multilevel"/>
    <w:tmpl w:val="492F666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18">
    <w:nsid w:val="4DF9281F"/>
    <w:multiLevelType w:val="singleLevel"/>
    <w:tmpl w:val="4DF9281F"/>
    <w:lvl w:ilvl="0" w:tentative="0">
      <w:start w:val="1"/>
      <w:numFmt w:val="decimal"/>
      <w:suff w:val="space"/>
      <w:lvlText w:val="（%1）"/>
      <w:lvlJc w:val="left"/>
    </w:lvl>
  </w:abstractNum>
  <w:abstractNum w:abstractNumId="19">
    <w:nsid w:val="4F8615FE"/>
    <w:multiLevelType w:val="multilevel"/>
    <w:tmpl w:val="4F8615FE"/>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0">
    <w:nsid w:val="508F4894"/>
    <w:multiLevelType w:val="multilevel"/>
    <w:tmpl w:val="508F489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1">
    <w:nsid w:val="50D07CDF"/>
    <w:multiLevelType w:val="multilevel"/>
    <w:tmpl w:val="50D07CDF"/>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2">
    <w:nsid w:val="51B132C3"/>
    <w:multiLevelType w:val="multilevel"/>
    <w:tmpl w:val="51B132C3"/>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3">
    <w:nsid w:val="64560464"/>
    <w:multiLevelType w:val="multilevel"/>
    <w:tmpl w:val="64560464"/>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4">
    <w:nsid w:val="6652221B"/>
    <w:multiLevelType w:val="multilevel"/>
    <w:tmpl w:val="6652221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5">
    <w:nsid w:val="699F4926"/>
    <w:multiLevelType w:val="multilevel"/>
    <w:tmpl w:val="699F4926"/>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6">
    <w:nsid w:val="70EF48ED"/>
    <w:multiLevelType w:val="multilevel"/>
    <w:tmpl w:val="70EF48ED"/>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7">
    <w:nsid w:val="77C47369"/>
    <w:multiLevelType w:val="multilevel"/>
    <w:tmpl w:val="77C47369"/>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8">
    <w:nsid w:val="78FC1AFB"/>
    <w:multiLevelType w:val="multilevel"/>
    <w:tmpl w:val="78FC1AFB"/>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29">
    <w:nsid w:val="7C354477"/>
    <w:multiLevelType w:val="multilevel"/>
    <w:tmpl w:val="7C354477"/>
    <w:lvl w:ilvl="0" w:tentative="0">
      <w:start w:val="1"/>
      <w:numFmt w:val="decimal"/>
      <w:lvlText w:val="%1、"/>
      <w:lvlJc w:val="left"/>
      <w:pPr>
        <w:ind w:left="360" w:hanging="36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num w:numId="1">
    <w:abstractNumId w:val="1"/>
  </w:num>
  <w:num w:numId="2">
    <w:abstractNumId w:val="18"/>
  </w:num>
  <w:num w:numId="3">
    <w:abstractNumId w:val="6"/>
  </w:num>
  <w:num w:numId="4">
    <w:abstractNumId w:val="5"/>
  </w:num>
  <w:num w:numId="5">
    <w:abstractNumId w:val="10"/>
  </w:num>
  <w:num w:numId="6">
    <w:abstractNumId w:val="13"/>
  </w:num>
  <w:num w:numId="7">
    <w:abstractNumId w:val="26"/>
  </w:num>
  <w:num w:numId="8">
    <w:abstractNumId w:val="15"/>
  </w:num>
  <w:num w:numId="9">
    <w:abstractNumId w:val="27"/>
  </w:num>
  <w:num w:numId="10">
    <w:abstractNumId w:val="12"/>
  </w:num>
  <w:num w:numId="11">
    <w:abstractNumId w:val="17"/>
  </w:num>
  <w:num w:numId="12">
    <w:abstractNumId w:val="9"/>
  </w:num>
  <w:num w:numId="13">
    <w:abstractNumId w:val="7"/>
  </w:num>
  <w:num w:numId="14">
    <w:abstractNumId w:val="4"/>
  </w:num>
  <w:num w:numId="15">
    <w:abstractNumId w:val="25"/>
  </w:num>
  <w:num w:numId="16">
    <w:abstractNumId w:val="8"/>
  </w:num>
  <w:num w:numId="17">
    <w:abstractNumId w:val="11"/>
  </w:num>
  <w:num w:numId="18">
    <w:abstractNumId w:val="28"/>
  </w:num>
  <w:num w:numId="19">
    <w:abstractNumId w:val="23"/>
  </w:num>
  <w:num w:numId="20">
    <w:abstractNumId w:val="2"/>
  </w:num>
  <w:num w:numId="21">
    <w:abstractNumId w:val="29"/>
  </w:num>
  <w:num w:numId="22">
    <w:abstractNumId w:val="16"/>
  </w:num>
  <w:num w:numId="23">
    <w:abstractNumId w:val="3"/>
  </w:num>
  <w:num w:numId="24">
    <w:abstractNumId w:val="22"/>
  </w:num>
  <w:num w:numId="25">
    <w:abstractNumId w:val="14"/>
  </w:num>
  <w:num w:numId="26">
    <w:abstractNumId w:val="24"/>
  </w:num>
  <w:num w:numId="27">
    <w:abstractNumId w:val="19"/>
  </w:num>
  <w:num w:numId="28">
    <w:abstractNumId w:val="20"/>
  </w:num>
  <w:num w:numId="29">
    <w:abstractNumId w:val="21"/>
  </w:num>
  <w:num w:numId="3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1"/>
  <w:bordersDoNotSurroundFooter w:val="1"/>
  <w:documentProtection w:enforcement="0"/>
  <w:defaultTabStop w:val="50"/>
  <w:drawingGridVerticalSpacing w:val="156"/>
  <w:noPunctuationKerning w:val="1"/>
  <w:characterSpacingControl w:val="compressPunctuation"/>
  <w:noLineBreaksAfter w:lang="zh-CN" w:val="([{·‘“〈《「『【〔〖（．［｛￡￥"/>
  <w:noLineBreaksBefore w:lang="zh-CN" w:val="!),.:;?]}¨·ˇˉ―‖’”…∶、。〃々〉》」』】〕〗！＂＇），．：；？］｀｜｝～￠"/>
  <w:footnotePr>
    <w:footnote w:id="0"/>
    <w:footnote w:id="1"/>
  </w:footnotePr>
  <w:endnotePr>
    <w:endnote w:id="0"/>
    <w:endnote w:id="1"/>
  </w:endnotePr>
  <w:compat>
    <w:spaceForUL/>
    <w:balanceSingleByteDoubleByteWidth/>
    <w:doNotLeaveBackslashAlon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ljZWFlOTBmNDc5ZGM5YWFhYjc2ZmY0YjExZjVkNTAifQ=="/>
  </w:docVars>
  <w:rsids>
    <w:rsidRoot w:val="00172A27"/>
    <w:rsid w:val="00000204"/>
    <w:rsid w:val="00000255"/>
    <w:rsid w:val="0000089C"/>
    <w:rsid w:val="000047A2"/>
    <w:rsid w:val="00005458"/>
    <w:rsid w:val="0000621B"/>
    <w:rsid w:val="00006310"/>
    <w:rsid w:val="0000711C"/>
    <w:rsid w:val="0000798E"/>
    <w:rsid w:val="00007B55"/>
    <w:rsid w:val="000113BB"/>
    <w:rsid w:val="00012B24"/>
    <w:rsid w:val="00012F76"/>
    <w:rsid w:val="00013163"/>
    <w:rsid w:val="000138E7"/>
    <w:rsid w:val="00013C4D"/>
    <w:rsid w:val="00014B3A"/>
    <w:rsid w:val="000165D8"/>
    <w:rsid w:val="00016AD4"/>
    <w:rsid w:val="00016DAF"/>
    <w:rsid w:val="00017D8B"/>
    <w:rsid w:val="0002102F"/>
    <w:rsid w:val="00021390"/>
    <w:rsid w:val="000221A3"/>
    <w:rsid w:val="00024162"/>
    <w:rsid w:val="000241B5"/>
    <w:rsid w:val="00024270"/>
    <w:rsid w:val="0002480B"/>
    <w:rsid w:val="0002658C"/>
    <w:rsid w:val="000267D6"/>
    <w:rsid w:val="000269DB"/>
    <w:rsid w:val="00027210"/>
    <w:rsid w:val="0002744B"/>
    <w:rsid w:val="00030929"/>
    <w:rsid w:val="00030CAF"/>
    <w:rsid w:val="000313A9"/>
    <w:rsid w:val="000320F9"/>
    <w:rsid w:val="00032319"/>
    <w:rsid w:val="000324B0"/>
    <w:rsid w:val="000330F8"/>
    <w:rsid w:val="00034472"/>
    <w:rsid w:val="00034E25"/>
    <w:rsid w:val="00037963"/>
    <w:rsid w:val="00040EBE"/>
    <w:rsid w:val="00041DF8"/>
    <w:rsid w:val="00042965"/>
    <w:rsid w:val="00042A98"/>
    <w:rsid w:val="000436EE"/>
    <w:rsid w:val="0004562A"/>
    <w:rsid w:val="000464F4"/>
    <w:rsid w:val="00047205"/>
    <w:rsid w:val="0004721D"/>
    <w:rsid w:val="00047A29"/>
    <w:rsid w:val="0005048F"/>
    <w:rsid w:val="00050CAD"/>
    <w:rsid w:val="000518CE"/>
    <w:rsid w:val="00051C00"/>
    <w:rsid w:val="00051C4E"/>
    <w:rsid w:val="0005324E"/>
    <w:rsid w:val="00054815"/>
    <w:rsid w:val="00055763"/>
    <w:rsid w:val="00055F0F"/>
    <w:rsid w:val="00056125"/>
    <w:rsid w:val="000569A7"/>
    <w:rsid w:val="000612D3"/>
    <w:rsid w:val="00061B98"/>
    <w:rsid w:val="00061BB1"/>
    <w:rsid w:val="00062900"/>
    <w:rsid w:val="00062C12"/>
    <w:rsid w:val="00063252"/>
    <w:rsid w:val="00064906"/>
    <w:rsid w:val="00064AAA"/>
    <w:rsid w:val="00066030"/>
    <w:rsid w:val="00066E2E"/>
    <w:rsid w:val="000674F2"/>
    <w:rsid w:val="00067DC5"/>
    <w:rsid w:val="00071686"/>
    <w:rsid w:val="00072294"/>
    <w:rsid w:val="00072511"/>
    <w:rsid w:val="0007291D"/>
    <w:rsid w:val="00072E38"/>
    <w:rsid w:val="000753ED"/>
    <w:rsid w:val="00077075"/>
    <w:rsid w:val="000773D7"/>
    <w:rsid w:val="0008010B"/>
    <w:rsid w:val="00080A96"/>
    <w:rsid w:val="00081241"/>
    <w:rsid w:val="0008172C"/>
    <w:rsid w:val="00081A44"/>
    <w:rsid w:val="000831F6"/>
    <w:rsid w:val="00084307"/>
    <w:rsid w:val="000848C8"/>
    <w:rsid w:val="0008490D"/>
    <w:rsid w:val="00084E2C"/>
    <w:rsid w:val="000852C8"/>
    <w:rsid w:val="000852E8"/>
    <w:rsid w:val="000860F3"/>
    <w:rsid w:val="000863FE"/>
    <w:rsid w:val="000865B4"/>
    <w:rsid w:val="000865BC"/>
    <w:rsid w:val="00087017"/>
    <w:rsid w:val="000876B0"/>
    <w:rsid w:val="000900BD"/>
    <w:rsid w:val="000900D4"/>
    <w:rsid w:val="00090415"/>
    <w:rsid w:val="00090831"/>
    <w:rsid w:val="00091B86"/>
    <w:rsid w:val="0009275B"/>
    <w:rsid w:val="00092E95"/>
    <w:rsid w:val="00093A26"/>
    <w:rsid w:val="0009605F"/>
    <w:rsid w:val="00097479"/>
    <w:rsid w:val="000A0369"/>
    <w:rsid w:val="000A200A"/>
    <w:rsid w:val="000A32BD"/>
    <w:rsid w:val="000A33DC"/>
    <w:rsid w:val="000A369B"/>
    <w:rsid w:val="000A3DE3"/>
    <w:rsid w:val="000A497C"/>
    <w:rsid w:val="000A49B8"/>
    <w:rsid w:val="000A64DE"/>
    <w:rsid w:val="000A71AF"/>
    <w:rsid w:val="000A7499"/>
    <w:rsid w:val="000B08C3"/>
    <w:rsid w:val="000B0B41"/>
    <w:rsid w:val="000B220D"/>
    <w:rsid w:val="000B2959"/>
    <w:rsid w:val="000B2E48"/>
    <w:rsid w:val="000B3328"/>
    <w:rsid w:val="000B4A68"/>
    <w:rsid w:val="000B5BF4"/>
    <w:rsid w:val="000B6318"/>
    <w:rsid w:val="000B658C"/>
    <w:rsid w:val="000B6B31"/>
    <w:rsid w:val="000B7396"/>
    <w:rsid w:val="000B7B3B"/>
    <w:rsid w:val="000C1287"/>
    <w:rsid w:val="000C1DCF"/>
    <w:rsid w:val="000C462F"/>
    <w:rsid w:val="000C4EFF"/>
    <w:rsid w:val="000C5480"/>
    <w:rsid w:val="000C5BAC"/>
    <w:rsid w:val="000C6EE8"/>
    <w:rsid w:val="000C7C65"/>
    <w:rsid w:val="000D0786"/>
    <w:rsid w:val="000D0973"/>
    <w:rsid w:val="000D0E2D"/>
    <w:rsid w:val="000D19B4"/>
    <w:rsid w:val="000D1B2D"/>
    <w:rsid w:val="000D1BE4"/>
    <w:rsid w:val="000D1C93"/>
    <w:rsid w:val="000D26BA"/>
    <w:rsid w:val="000D30B3"/>
    <w:rsid w:val="000D3F26"/>
    <w:rsid w:val="000D3FE8"/>
    <w:rsid w:val="000D4A62"/>
    <w:rsid w:val="000D671D"/>
    <w:rsid w:val="000D733D"/>
    <w:rsid w:val="000D73CA"/>
    <w:rsid w:val="000E06C1"/>
    <w:rsid w:val="000E073E"/>
    <w:rsid w:val="000E0A3A"/>
    <w:rsid w:val="000E0C6C"/>
    <w:rsid w:val="000E0E9A"/>
    <w:rsid w:val="000E1803"/>
    <w:rsid w:val="000E1B14"/>
    <w:rsid w:val="000E1D8A"/>
    <w:rsid w:val="000E1DA9"/>
    <w:rsid w:val="000E2AAE"/>
    <w:rsid w:val="000E40BA"/>
    <w:rsid w:val="000E468F"/>
    <w:rsid w:val="000E46DB"/>
    <w:rsid w:val="000E4913"/>
    <w:rsid w:val="000E5CDB"/>
    <w:rsid w:val="000E6CA0"/>
    <w:rsid w:val="000E74B7"/>
    <w:rsid w:val="000F0BB6"/>
    <w:rsid w:val="000F0C25"/>
    <w:rsid w:val="000F1119"/>
    <w:rsid w:val="000F2E27"/>
    <w:rsid w:val="000F2FC8"/>
    <w:rsid w:val="000F37D2"/>
    <w:rsid w:val="000F49B9"/>
    <w:rsid w:val="000F571E"/>
    <w:rsid w:val="000F5B0B"/>
    <w:rsid w:val="000F7CF2"/>
    <w:rsid w:val="001001DF"/>
    <w:rsid w:val="0010081A"/>
    <w:rsid w:val="00101B40"/>
    <w:rsid w:val="0010290F"/>
    <w:rsid w:val="00102E93"/>
    <w:rsid w:val="001036E3"/>
    <w:rsid w:val="00103C17"/>
    <w:rsid w:val="00104024"/>
    <w:rsid w:val="001046FB"/>
    <w:rsid w:val="001061A0"/>
    <w:rsid w:val="001069EE"/>
    <w:rsid w:val="00107ADA"/>
    <w:rsid w:val="00107B5E"/>
    <w:rsid w:val="00107C1E"/>
    <w:rsid w:val="0011053C"/>
    <w:rsid w:val="00110C29"/>
    <w:rsid w:val="001112CA"/>
    <w:rsid w:val="00111EC7"/>
    <w:rsid w:val="00112F91"/>
    <w:rsid w:val="00113CFE"/>
    <w:rsid w:val="00113F30"/>
    <w:rsid w:val="00114E26"/>
    <w:rsid w:val="00115129"/>
    <w:rsid w:val="00115385"/>
    <w:rsid w:val="0011565E"/>
    <w:rsid w:val="001162C9"/>
    <w:rsid w:val="00116504"/>
    <w:rsid w:val="00116571"/>
    <w:rsid w:val="001179D8"/>
    <w:rsid w:val="001205B4"/>
    <w:rsid w:val="001209C8"/>
    <w:rsid w:val="00121B79"/>
    <w:rsid w:val="00126035"/>
    <w:rsid w:val="00127EF8"/>
    <w:rsid w:val="00130FFC"/>
    <w:rsid w:val="00132945"/>
    <w:rsid w:val="00132EDC"/>
    <w:rsid w:val="001331B8"/>
    <w:rsid w:val="00133DE1"/>
    <w:rsid w:val="00134243"/>
    <w:rsid w:val="00135366"/>
    <w:rsid w:val="0013643B"/>
    <w:rsid w:val="00136636"/>
    <w:rsid w:val="00137608"/>
    <w:rsid w:val="00140181"/>
    <w:rsid w:val="001416EB"/>
    <w:rsid w:val="00142201"/>
    <w:rsid w:val="00144A2B"/>
    <w:rsid w:val="0014544C"/>
    <w:rsid w:val="0014558C"/>
    <w:rsid w:val="00146BD0"/>
    <w:rsid w:val="00147B0E"/>
    <w:rsid w:val="0015035E"/>
    <w:rsid w:val="0015072A"/>
    <w:rsid w:val="001517C6"/>
    <w:rsid w:val="00151936"/>
    <w:rsid w:val="001526D2"/>
    <w:rsid w:val="00154E43"/>
    <w:rsid w:val="00155402"/>
    <w:rsid w:val="00155BB1"/>
    <w:rsid w:val="00156F0D"/>
    <w:rsid w:val="0015770C"/>
    <w:rsid w:val="0016093B"/>
    <w:rsid w:val="0016146B"/>
    <w:rsid w:val="001618AF"/>
    <w:rsid w:val="00161F48"/>
    <w:rsid w:val="00163AAB"/>
    <w:rsid w:val="00163D95"/>
    <w:rsid w:val="00163F99"/>
    <w:rsid w:val="00164F53"/>
    <w:rsid w:val="00165098"/>
    <w:rsid w:val="001650EC"/>
    <w:rsid w:val="00165144"/>
    <w:rsid w:val="00165482"/>
    <w:rsid w:val="001665F1"/>
    <w:rsid w:val="0016698F"/>
    <w:rsid w:val="001672A7"/>
    <w:rsid w:val="001672C6"/>
    <w:rsid w:val="0017268B"/>
    <w:rsid w:val="00172A27"/>
    <w:rsid w:val="00173057"/>
    <w:rsid w:val="0017391A"/>
    <w:rsid w:val="00173E17"/>
    <w:rsid w:val="00173FAF"/>
    <w:rsid w:val="0017441E"/>
    <w:rsid w:val="0017543F"/>
    <w:rsid w:val="00175BE8"/>
    <w:rsid w:val="00176AFE"/>
    <w:rsid w:val="0017775C"/>
    <w:rsid w:val="00177F7F"/>
    <w:rsid w:val="0018039B"/>
    <w:rsid w:val="00180B3C"/>
    <w:rsid w:val="001810E8"/>
    <w:rsid w:val="00181BB9"/>
    <w:rsid w:val="00181D1D"/>
    <w:rsid w:val="00182407"/>
    <w:rsid w:val="00184477"/>
    <w:rsid w:val="00184A45"/>
    <w:rsid w:val="00184F72"/>
    <w:rsid w:val="00185280"/>
    <w:rsid w:val="00185AED"/>
    <w:rsid w:val="00185D21"/>
    <w:rsid w:val="00187800"/>
    <w:rsid w:val="00187BC8"/>
    <w:rsid w:val="00191515"/>
    <w:rsid w:val="00191859"/>
    <w:rsid w:val="001919C4"/>
    <w:rsid w:val="00192736"/>
    <w:rsid w:val="001934D3"/>
    <w:rsid w:val="00195007"/>
    <w:rsid w:val="00196777"/>
    <w:rsid w:val="001A1C76"/>
    <w:rsid w:val="001A50EC"/>
    <w:rsid w:val="001A5B18"/>
    <w:rsid w:val="001A6072"/>
    <w:rsid w:val="001A67B4"/>
    <w:rsid w:val="001A6DEB"/>
    <w:rsid w:val="001A7658"/>
    <w:rsid w:val="001A7BAD"/>
    <w:rsid w:val="001B0588"/>
    <w:rsid w:val="001B0B8F"/>
    <w:rsid w:val="001B1C37"/>
    <w:rsid w:val="001B1EF6"/>
    <w:rsid w:val="001B2463"/>
    <w:rsid w:val="001B28F1"/>
    <w:rsid w:val="001B2901"/>
    <w:rsid w:val="001B33C2"/>
    <w:rsid w:val="001B477C"/>
    <w:rsid w:val="001B59B1"/>
    <w:rsid w:val="001B6A2A"/>
    <w:rsid w:val="001B6BDB"/>
    <w:rsid w:val="001B6DEF"/>
    <w:rsid w:val="001B7836"/>
    <w:rsid w:val="001B7A18"/>
    <w:rsid w:val="001C1A58"/>
    <w:rsid w:val="001C2334"/>
    <w:rsid w:val="001C2B57"/>
    <w:rsid w:val="001C34F6"/>
    <w:rsid w:val="001C3D68"/>
    <w:rsid w:val="001C5E89"/>
    <w:rsid w:val="001C692C"/>
    <w:rsid w:val="001C69C6"/>
    <w:rsid w:val="001C6F81"/>
    <w:rsid w:val="001C7B26"/>
    <w:rsid w:val="001C7C29"/>
    <w:rsid w:val="001C7CBD"/>
    <w:rsid w:val="001C7E72"/>
    <w:rsid w:val="001D00B8"/>
    <w:rsid w:val="001D18E5"/>
    <w:rsid w:val="001D1E3B"/>
    <w:rsid w:val="001D24B4"/>
    <w:rsid w:val="001D58B9"/>
    <w:rsid w:val="001D65E0"/>
    <w:rsid w:val="001D683D"/>
    <w:rsid w:val="001D6ADE"/>
    <w:rsid w:val="001D7785"/>
    <w:rsid w:val="001E1D3E"/>
    <w:rsid w:val="001E40C9"/>
    <w:rsid w:val="001E4307"/>
    <w:rsid w:val="001E48D9"/>
    <w:rsid w:val="001E53B8"/>
    <w:rsid w:val="001E5675"/>
    <w:rsid w:val="001E65FD"/>
    <w:rsid w:val="001E6686"/>
    <w:rsid w:val="001E6E0B"/>
    <w:rsid w:val="001E6FC2"/>
    <w:rsid w:val="001F01D3"/>
    <w:rsid w:val="001F0301"/>
    <w:rsid w:val="001F12F2"/>
    <w:rsid w:val="001F1478"/>
    <w:rsid w:val="001F165B"/>
    <w:rsid w:val="001F1666"/>
    <w:rsid w:val="001F23BD"/>
    <w:rsid w:val="001F2629"/>
    <w:rsid w:val="001F2633"/>
    <w:rsid w:val="001F2B3A"/>
    <w:rsid w:val="001F2D08"/>
    <w:rsid w:val="001F36D7"/>
    <w:rsid w:val="001F4E48"/>
    <w:rsid w:val="001F6807"/>
    <w:rsid w:val="0020010E"/>
    <w:rsid w:val="00200719"/>
    <w:rsid w:val="00200C42"/>
    <w:rsid w:val="00201268"/>
    <w:rsid w:val="00201378"/>
    <w:rsid w:val="002033A9"/>
    <w:rsid w:val="0020379F"/>
    <w:rsid w:val="00203AFF"/>
    <w:rsid w:val="002041D4"/>
    <w:rsid w:val="00204FC7"/>
    <w:rsid w:val="002056F3"/>
    <w:rsid w:val="002057D3"/>
    <w:rsid w:val="00205C06"/>
    <w:rsid w:val="00207541"/>
    <w:rsid w:val="00210264"/>
    <w:rsid w:val="00210C85"/>
    <w:rsid w:val="00211491"/>
    <w:rsid w:val="00211D15"/>
    <w:rsid w:val="00212650"/>
    <w:rsid w:val="00212D3C"/>
    <w:rsid w:val="00214B51"/>
    <w:rsid w:val="00215312"/>
    <w:rsid w:val="00215CFD"/>
    <w:rsid w:val="00216594"/>
    <w:rsid w:val="0021685F"/>
    <w:rsid w:val="002168A4"/>
    <w:rsid w:val="00217572"/>
    <w:rsid w:val="002179AC"/>
    <w:rsid w:val="002209AC"/>
    <w:rsid w:val="002227E1"/>
    <w:rsid w:val="00222D88"/>
    <w:rsid w:val="002256A7"/>
    <w:rsid w:val="00226CB1"/>
    <w:rsid w:val="002274F7"/>
    <w:rsid w:val="00227B72"/>
    <w:rsid w:val="00227F56"/>
    <w:rsid w:val="00230F26"/>
    <w:rsid w:val="00230F9A"/>
    <w:rsid w:val="0023239E"/>
    <w:rsid w:val="00233200"/>
    <w:rsid w:val="00236590"/>
    <w:rsid w:val="00237326"/>
    <w:rsid w:val="002374C1"/>
    <w:rsid w:val="0023770B"/>
    <w:rsid w:val="00237AAA"/>
    <w:rsid w:val="002402B1"/>
    <w:rsid w:val="00240439"/>
    <w:rsid w:val="00240CCA"/>
    <w:rsid w:val="00242B91"/>
    <w:rsid w:val="00242D61"/>
    <w:rsid w:val="002431AF"/>
    <w:rsid w:val="002435C0"/>
    <w:rsid w:val="00243F23"/>
    <w:rsid w:val="00244DB2"/>
    <w:rsid w:val="00245094"/>
    <w:rsid w:val="002456AE"/>
    <w:rsid w:val="00246152"/>
    <w:rsid w:val="002466D3"/>
    <w:rsid w:val="00246A1B"/>
    <w:rsid w:val="0024726A"/>
    <w:rsid w:val="002509FF"/>
    <w:rsid w:val="0025223A"/>
    <w:rsid w:val="00252D05"/>
    <w:rsid w:val="00253B5A"/>
    <w:rsid w:val="00254127"/>
    <w:rsid w:val="002549B0"/>
    <w:rsid w:val="00256008"/>
    <w:rsid w:val="0025692E"/>
    <w:rsid w:val="002608B5"/>
    <w:rsid w:val="00261F42"/>
    <w:rsid w:val="00262574"/>
    <w:rsid w:val="002628B5"/>
    <w:rsid w:val="00263344"/>
    <w:rsid w:val="00263929"/>
    <w:rsid w:val="00264385"/>
    <w:rsid w:val="00265241"/>
    <w:rsid w:val="00266B37"/>
    <w:rsid w:val="0026766C"/>
    <w:rsid w:val="00267F39"/>
    <w:rsid w:val="00270A3D"/>
    <w:rsid w:val="00270E8A"/>
    <w:rsid w:val="00272AA3"/>
    <w:rsid w:val="00273E80"/>
    <w:rsid w:val="002740E2"/>
    <w:rsid w:val="0027410E"/>
    <w:rsid w:val="00274472"/>
    <w:rsid w:val="002747A8"/>
    <w:rsid w:val="002748CF"/>
    <w:rsid w:val="00274BF4"/>
    <w:rsid w:val="002752ED"/>
    <w:rsid w:val="00275518"/>
    <w:rsid w:val="00275BD4"/>
    <w:rsid w:val="00275D7F"/>
    <w:rsid w:val="00276F2E"/>
    <w:rsid w:val="00277224"/>
    <w:rsid w:val="00277248"/>
    <w:rsid w:val="002775CE"/>
    <w:rsid w:val="002800BF"/>
    <w:rsid w:val="00280186"/>
    <w:rsid w:val="0028093C"/>
    <w:rsid w:val="00280ACC"/>
    <w:rsid w:val="00280C31"/>
    <w:rsid w:val="00280F5B"/>
    <w:rsid w:val="00280F6A"/>
    <w:rsid w:val="00281CDA"/>
    <w:rsid w:val="0028216A"/>
    <w:rsid w:val="00282987"/>
    <w:rsid w:val="00283D47"/>
    <w:rsid w:val="00283F3D"/>
    <w:rsid w:val="002840E5"/>
    <w:rsid w:val="00284801"/>
    <w:rsid w:val="00285786"/>
    <w:rsid w:val="00286F95"/>
    <w:rsid w:val="00286FEA"/>
    <w:rsid w:val="00290417"/>
    <w:rsid w:val="0029190B"/>
    <w:rsid w:val="0029256E"/>
    <w:rsid w:val="0029259B"/>
    <w:rsid w:val="00293988"/>
    <w:rsid w:val="00293B92"/>
    <w:rsid w:val="00294344"/>
    <w:rsid w:val="0029441A"/>
    <w:rsid w:val="00294E0A"/>
    <w:rsid w:val="00296C9B"/>
    <w:rsid w:val="00296F96"/>
    <w:rsid w:val="002971E8"/>
    <w:rsid w:val="002A0ACA"/>
    <w:rsid w:val="002A13BE"/>
    <w:rsid w:val="002A1E70"/>
    <w:rsid w:val="002A1FE5"/>
    <w:rsid w:val="002A29BF"/>
    <w:rsid w:val="002A2B6E"/>
    <w:rsid w:val="002A2C3E"/>
    <w:rsid w:val="002A3E59"/>
    <w:rsid w:val="002A4EE2"/>
    <w:rsid w:val="002A589D"/>
    <w:rsid w:val="002A599A"/>
    <w:rsid w:val="002A6C7B"/>
    <w:rsid w:val="002A6CD7"/>
    <w:rsid w:val="002A7281"/>
    <w:rsid w:val="002B01A6"/>
    <w:rsid w:val="002B05AD"/>
    <w:rsid w:val="002B14BC"/>
    <w:rsid w:val="002B1BC3"/>
    <w:rsid w:val="002B2876"/>
    <w:rsid w:val="002B3A66"/>
    <w:rsid w:val="002B42D6"/>
    <w:rsid w:val="002B4786"/>
    <w:rsid w:val="002B4F94"/>
    <w:rsid w:val="002B507E"/>
    <w:rsid w:val="002B51B9"/>
    <w:rsid w:val="002B5699"/>
    <w:rsid w:val="002B5972"/>
    <w:rsid w:val="002B660B"/>
    <w:rsid w:val="002B6D02"/>
    <w:rsid w:val="002B78B7"/>
    <w:rsid w:val="002B7BE5"/>
    <w:rsid w:val="002C230C"/>
    <w:rsid w:val="002C45BE"/>
    <w:rsid w:val="002C4905"/>
    <w:rsid w:val="002C4C5D"/>
    <w:rsid w:val="002C4D64"/>
    <w:rsid w:val="002C58C0"/>
    <w:rsid w:val="002C664D"/>
    <w:rsid w:val="002C6AB8"/>
    <w:rsid w:val="002C7174"/>
    <w:rsid w:val="002C7648"/>
    <w:rsid w:val="002D040D"/>
    <w:rsid w:val="002D064D"/>
    <w:rsid w:val="002D16E9"/>
    <w:rsid w:val="002D18B9"/>
    <w:rsid w:val="002D2AB4"/>
    <w:rsid w:val="002D337B"/>
    <w:rsid w:val="002D3E93"/>
    <w:rsid w:val="002D41B6"/>
    <w:rsid w:val="002D4851"/>
    <w:rsid w:val="002D5163"/>
    <w:rsid w:val="002D542E"/>
    <w:rsid w:val="002D54A8"/>
    <w:rsid w:val="002D54E1"/>
    <w:rsid w:val="002D57FA"/>
    <w:rsid w:val="002D6246"/>
    <w:rsid w:val="002D736C"/>
    <w:rsid w:val="002D7587"/>
    <w:rsid w:val="002D75D5"/>
    <w:rsid w:val="002D7B45"/>
    <w:rsid w:val="002D7C09"/>
    <w:rsid w:val="002D7D86"/>
    <w:rsid w:val="002E02EC"/>
    <w:rsid w:val="002E0346"/>
    <w:rsid w:val="002E1262"/>
    <w:rsid w:val="002E298F"/>
    <w:rsid w:val="002E39B5"/>
    <w:rsid w:val="002E4348"/>
    <w:rsid w:val="002E5992"/>
    <w:rsid w:val="002E652A"/>
    <w:rsid w:val="002F0A42"/>
    <w:rsid w:val="002F0F11"/>
    <w:rsid w:val="002F1295"/>
    <w:rsid w:val="002F176C"/>
    <w:rsid w:val="002F2027"/>
    <w:rsid w:val="002F2FC5"/>
    <w:rsid w:val="002F32EF"/>
    <w:rsid w:val="002F3622"/>
    <w:rsid w:val="002F3A54"/>
    <w:rsid w:val="002F3DFC"/>
    <w:rsid w:val="002F4182"/>
    <w:rsid w:val="002F4446"/>
    <w:rsid w:val="002F4473"/>
    <w:rsid w:val="002F4DF4"/>
    <w:rsid w:val="002F56BD"/>
    <w:rsid w:val="002F59E4"/>
    <w:rsid w:val="002F5C30"/>
    <w:rsid w:val="002F6150"/>
    <w:rsid w:val="002F6286"/>
    <w:rsid w:val="002F7604"/>
    <w:rsid w:val="0030035F"/>
    <w:rsid w:val="0030216F"/>
    <w:rsid w:val="0030219E"/>
    <w:rsid w:val="0030279F"/>
    <w:rsid w:val="00302EF3"/>
    <w:rsid w:val="00303090"/>
    <w:rsid w:val="003035D3"/>
    <w:rsid w:val="00303E58"/>
    <w:rsid w:val="003042B5"/>
    <w:rsid w:val="00304F9D"/>
    <w:rsid w:val="00305BD4"/>
    <w:rsid w:val="003069AE"/>
    <w:rsid w:val="00306B37"/>
    <w:rsid w:val="003076D9"/>
    <w:rsid w:val="00310673"/>
    <w:rsid w:val="0031184F"/>
    <w:rsid w:val="00311A40"/>
    <w:rsid w:val="00312C62"/>
    <w:rsid w:val="003135C2"/>
    <w:rsid w:val="00316093"/>
    <w:rsid w:val="0031687F"/>
    <w:rsid w:val="00316F94"/>
    <w:rsid w:val="0032059F"/>
    <w:rsid w:val="0032207D"/>
    <w:rsid w:val="0032414C"/>
    <w:rsid w:val="00324CB9"/>
    <w:rsid w:val="003257E6"/>
    <w:rsid w:val="00325CCB"/>
    <w:rsid w:val="003267F0"/>
    <w:rsid w:val="003304B8"/>
    <w:rsid w:val="003309FB"/>
    <w:rsid w:val="003316CF"/>
    <w:rsid w:val="00331871"/>
    <w:rsid w:val="003324B7"/>
    <w:rsid w:val="0033345D"/>
    <w:rsid w:val="00334875"/>
    <w:rsid w:val="00334D9B"/>
    <w:rsid w:val="00335917"/>
    <w:rsid w:val="0033648C"/>
    <w:rsid w:val="00336FEE"/>
    <w:rsid w:val="003372A3"/>
    <w:rsid w:val="003375B9"/>
    <w:rsid w:val="00337D04"/>
    <w:rsid w:val="0034007C"/>
    <w:rsid w:val="003416E6"/>
    <w:rsid w:val="00341BA8"/>
    <w:rsid w:val="00341E1A"/>
    <w:rsid w:val="003447F3"/>
    <w:rsid w:val="00344EF7"/>
    <w:rsid w:val="003464C5"/>
    <w:rsid w:val="003465E7"/>
    <w:rsid w:val="0034666D"/>
    <w:rsid w:val="0034681C"/>
    <w:rsid w:val="003469C2"/>
    <w:rsid w:val="00346A6B"/>
    <w:rsid w:val="00346AEB"/>
    <w:rsid w:val="00346C2F"/>
    <w:rsid w:val="0034763F"/>
    <w:rsid w:val="00350041"/>
    <w:rsid w:val="003511ED"/>
    <w:rsid w:val="00351D3B"/>
    <w:rsid w:val="0035212E"/>
    <w:rsid w:val="003525E3"/>
    <w:rsid w:val="003529A9"/>
    <w:rsid w:val="00354AAD"/>
    <w:rsid w:val="00355DC5"/>
    <w:rsid w:val="00355E5E"/>
    <w:rsid w:val="00355EEC"/>
    <w:rsid w:val="00356B9B"/>
    <w:rsid w:val="00356FA7"/>
    <w:rsid w:val="003570E9"/>
    <w:rsid w:val="003576F1"/>
    <w:rsid w:val="00360999"/>
    <w:rsid w:val="003620A2"/>
    <w:rsid w:val="0036245E"/>
    <w:rsid w:val="00362BED"/>
    <w:rsid w:val="00362FFE"/>
    <w:rsid w:val="0036345D"/>
    <w:rsid w:val="00363B2C"/>
    <w:rsid w:val="00364D06"/>
    <w:rsid w:val="00364FDD"/>
    <w:rsid w:val="00365426"/>
    <w:rsid w:val="00366338"/>
    <w:rsid w:val="00366E29"/>
    <w:rsid w:val="00367EF8"/>
    <w:rsid w:val="00367FE5"/>
    <w:rsid w:val="00370107"/>
    <w:rsid w:val="003704D2"/>
    <w:rsid w:val="0037121E"/>
    <w:rsid w:val="00372D7E"/>
    <w:rsid w:val="00373A61"/>
    <w:rsid w:val="00373D91"/>
    <w:rsid w:val="0037425E"/>
    <w:rsid w:val="003748AC"/>
    <w:rsid w:val="003751FD"/>
    <w:rsid w:val="00376C1B"/>
    <w:rsid w:val="00377764"/>
    <w:rsid w:val="00377F69"/>
    <w:rsid w:val="003808F8"/>
    <w:rsid w:val="00380984"/>
    <w:rsid w:val="00381419"/>
    <w:rsid w:val="00381563"/>
    <w:rsid w:val="00381F37"/>
    <w:rsid w:val="00383032"/>
    <w:rsid w:val="0038379F"/>
    <w:rsid w:val="003838D9"/>
    <w:rsid w:val="00383DCC"/>
    <w:rsid w:val="00384741"/>
    <w:rsid w:val="003857C4"/>
    <w:rsid w:val="00385A13"/>
    <w:rsid w:val="0038655B"/>
    <w:rsid w:val="00387793"/>
    <w:rsid w:val="00390623"/>
    <w:rsid w:val="003912DF"/>
    <w:rsid w:val="0039265A"/>
    <w:rsid w:val="00393EB1"/>
    <w:rsid w:val="00394243"/>
    <w:rsid w:val="00395135"/>
    <w:rsid w:val="0039543B"/>
    <w:rsid w:val="00395838"/>
    <w:rsid w:val="00395991"/>
    <w:rsid w:val="00396AD6"/>
    <w:rsid w:val="00397119"/>
    <w:rsid w:val="003972ED"/>
    <w:rsid w:val="00397C7D"/>
    <w:rsid w:val="003A02B7"/>
    <w:rsid w:val="003A0DF1"/>
    <w:rsid w:val="003A3410"/>
    <w:rsid w:val="003A37E6"/>
    <w:rsid w:val="003A3CD0"/>
    <w:rsid w:val="003A5C84"/>
    <w:rsid w:val="003A6830"/>
    <w:rsid w:val="003A7CF9"/>
    <w:rsid w:val="003B156B"/>
    <w:rsid w:val="003B3281"/>
    <w:rsid w:val="003B3373"/>
    <w:rsid w:val="003B33C3"/>
    <w:rsid w:val="003B3D8F"/>
    <w:rsid w:val="003B46CC"/>
    <w:rsid w:val="003B49EC"/>
    <w:rsid w:val="003B5EF6"/>
    <w:rsid w:val="003B6963"/>
    <w:rsid w:val="003B7371"/>
    <w:rsid w:val="003B74B3"/>
    <w:rsid w:val="003C0CF6"/>
    <w:rsid w:val="003C0E0E"/>
    <w:rsid w:val="003C15C0"/>
    <w:rsid w:val="003C1A09"/>
    <w:rsid w:val="003C1ABC"/>
    <w:rsid w:val="003C1DE2"/>
    <w:rsid w:val="003C2025"/>
    <w:rsid w:val="003C2114"/>
    <w:rsid w:val="003C25C0"/>
    <w:rsid w:val="003C2645"/>
    <w:rsid w:val="003C3073"/>
    <w:rsid w:val="003C406C"/>
    <w:rsid w:val="003C440A"/>
    <w:rsid w:val="003C522B"/>
    <w:rsid w:val="003C5A20"/>
    <w:rsid w:val="003C67D9"/>
    <w:rsid w:val="003D08B2"/>
    <w:rsid w:val="003D12F5"/>
    <w:rsid w:val="003D1A23"/>
    <w:rsid w:val="003D296E"/>
    <w:rsid w:val="003D2E71"/>
    <w:rsid w:val="003D3757"/>
    <w:rsid w:val="003D394C"/>
    <w:rsid w:val="003D3EEF"/>
    <w:rsid w:val="003D42EF"/>
    <w:rsid w:val="003D48AC"/>
    <w:rsid w:val="003D592F"/>
    <w:rsid w:val="003D59D3"/>
    <w:rsid w:val="003D5E78"/>
    <w:rsid w:val="003D5FF9"/>
    <w:rsid w:val="003D61E6"/>
    <w:rsid w:val="003D6F3F"/>
    <w:rsid w:val="003D72B5"/>
    <w:rsid w:val="003D72BC"/>
    <w:rsid w:val="003D7A9D"/>
    <w:rsid w:val="003D7C47"/>
    <w:rsid w:val="003D7E01"/>
    <w:rsid w:val="003E159D"/>
    <w:rsid w:val="003E17BC"/>
    <w:rsid w:val="003E191A"/>
    <w:rsid w:val="003E1C75"/>
    <w:rsid w:val="003E1F59"/>
    <w:rsid w:val="003E252D"/>
    <w:rsid w:val="003E2EE8"/>
    <w:rsid w:val="003E3D5B"/>
    <w:rsid w:val="003E4296"/>
    <w:rsid w:val="003E5443"/>
    <w:rsid w:val="003E5948"/>
    <w:rsid w:val="003E599C"/>
    <w:rsid w:val="003E5FA8"/>
    <w:rsid w:val="003E6A38"/>
    <w:rsid w:val="003E70C0"/>
    <w:rsid w:val="003E724B"/>
    <w:rsid w:val="003E7593"/>
    <w:rsid w:val="003E7DB6"/>
    <w:rsid w:val="003F0523"/>
    <w:rsid w:val="003F0879"/>
    <w:rsid w:val="003F130E"/>
    <w:rsid w:val="003F1727"/>
    <w:rsid w:val="003F2175"/>
    <w:rsid w:val="003F23E1"/>
    <w:rsid w:val="003F2C5B"/>
    <w:rsid w:val="003F3746"/>
    <w:rsid w:val="003F3A3B"/>
    <w:rsid w:val="003F3EF3"/>
    <w:rsid w:val="003F5701"/>
    <w:rsid w:val="003F5AC2"/>
    <w:rsid w:val="003F6BB7"/>
    <w:rsid w:val="003F75AD"/>
    <w:rsid w:val="00400202"/>
    <w:rsid w:val="00400E78"/>
    <w:rsid w:val="0040118B"/>
    <w:rsid w:val="004018D6"/>
    <w:rsid w:val="00401A2A"/>
    <w:rsid w:val="004028CE"/>
    <w:rsid w:val="00403F5A"/>
    <w:rsid w:val="004054DC"/>
    <w:rsid w:val="00405BE6"/>
    <w:rsid w:val="00406BDC"/>
    <w:rsid w:val="00407B4D"/>
    <w:rsid w:val="00410822"/>
    <w:rsid w:val="00411F70"/>
    <w:rsid w:val="00412368"/>
    <w:rsid w:val="00412A45"/>
    <w:rsid w:val="00412D44"/>
    <w:rsid w:val="00413B73"/>
    <w:rsid w:val="004200A1"/>
    <w:rsid w:val="00420529"/>
    <w:rsid w:val="004209A4"/>
    <w:rsid w:val="00421CAB"/>
    <w:rsid w:val="0042271B"/>
    <w:rsid w:val="004236A4"/>
    <w:rsid w:val="00424A38"/>
    <w:rsid w:val="00426CA8"/>
    <w:rsid w:val="00426E7A"/>
    <w:rsid w:val="004276A3"/>
    <w:rsid w:val="00427AA6"/>
    <w:rsid w:val="004307FA"/>
    <w:rsid w:val="00431084"/>
    <w:rsid w:val="0043115F"/>
    <w:rsid w:val="0043309B"/>
    <w:rsid w:val="004343B5"/>
    <w:rsid w:val="0043448C"/>
    <w:rsid w:val="004358A3"/>
    <w:rsid w:val="0044006D"/>
    <w:rsid w:val="0044260F"/>
    <w:rsid w:val="0044261C"/>
    <w:rsid w:val="0044272A"/>
    <w:rsid w:val="0044281D"/>
    <w:rsid w:val="00442AB9"/>
    <w:rsid w:val="0044337D"/>
    <w:rsid w:val="00443498"/>
    <w:rsid w:val="00443FA9"/>
    <w:rsid w:val="004448D2"/>
    <w:rsid w:val="004461E7"/>
    <w:rsid w:val="00447185"/>
    <w:rsid w:val="00447445"/>
    <w:rsid w:val="0045034F"/>
    <w:rsid w:val="004512B7"/>
    <w:rsid w:val="004517C6"/>
    <w:rsid w:val="004527F1"/>
    <w:rsid w:val="004529A9"/>
    <w:rsid w:val="0045323B"/>
    <w:rsid w:val="0045388E"/>
    <w:rsid w:val="004539CE"/>
    <w:rsid w:val="00455A6D"/>
    <w:rsid w:val="00455FCA"/>
    <w:rsid w:val="00456529"/>
    <w:rsid w:val="0045661E"/>
    <w:rsid w:val="00456707"/>
    <w:rsid w:val="00457790"/>
    <w:rsid w:val="0045796D"/>
    <w:rsid w:val="00457C7A"/>
    <w:rsid w:val="00457E8A"/>
    <w:rsid w:val="00461142"/>
    <w:rsid w:val="00461A83"/>
    <w:rsid w:val="004626F9"/>
    <w:rsid w:val="0047143D"/>
    <w:rsid w:val="00471D2A"/>
    <w:rsid w:val="00471EC8"/>
    <w:rsid w:val="00472A1C"/>
    <w:rsid w:val="00472C98"/>
    <w:rsid w:val="00473D17"/>
    <w:rsid w:val="0047589D"/>
    <w:rsid w:val="00476059"/>
    <w:rsid w:val="00476BA3"/>
    <w:rsid w:val="00476C38"/>
    <w:rsid w:val="0047751F"/>
    <w:rsid w:val="004803B5"/>
    <w:rsid w:val="00480CA2"/>
    <w:rsid w:val="00481C89"/>
    <w:rsid w:val="00481E31"/>
    <w:rsid w:val="00481E52"/>
    <w:rsid w:val="00482D70"/>
    <w:rsid w:val="004834CF"/>
    <w:rsid w:val="00483F9E"/>
    <w:rsid w:val="004851C4"/>
    <w:rsid w:val="004855D4"/>
    <w:rsid w:val="0048597C"/>
    <w:rsid w:val="00485EEA"/>
    <w:rsid w:val="00487FC0"/>
    <w:rsid w:val="00490894"/>
    <w:rsid w:val="00493A7B"/>
    <w:rsid w:val="00493B79"/>
    <w:rsid w:val="0049420D"/>
    <w:rsid w:val="00494EF8"/>
    <w:rsid w:val="00497176"/>
    <w:rsid w:val="00497B3B"/>
    <w:rsid w:val="004A0BDF"/>
    <w:rsid w:val="004A0C75"/>
    <w:rsid w:val="004A0DF0"/>
    <w:rsid w:val="004A1E18"/>
    <w:rsid w:val="004A208B"/>
    <w:rsid w:val="004A20B2"/>
    <w:rsid w:val="004A34A8"/>
    <w:rsid w:val="004A3636"/>
    <w:rsid w:val="004A394C"/>
    <w:rsid w:val="004A3B60"/>
    <w:rsid w:val="004A5155"/>
    <w:rsid w:val="004A79FE"/>
    <w:rsid w:val="004B45DE"/>
    <w:rsid w:val="004B4AD8"/>
    <w:rsid w:val="004B57AD"/>
    <w:rsid w:val="004B6244"/>
    <w:rsid w:val="004B6515"/>
    <w:rsid w:val="004B6774"/>
    <w:rsid w:val="004B7186"/>
    <w:rsid w:val="004B71F3"/>
    <w:rsid w:val="004B7B45"/>
    <w:rsid w:val="004B7D28"/>
    <w:rsid w:val="004C05DF"/>
    <w:rsid w:val="004C08FD"/>
    <w:rsid w:val="004C0A3D"/>
    <w:rsid w:val="004C0D8D"/>
    <w:rsid w:val="004C0F5D"/>
    <w:rsid w:val="004C1980"/>
    <w:rsid w:val="004C356A"/>
    <w:rsid w:val="004C3C56"/>
    <w:rsid w:val="004C49FD"/>
    <w:rsid w:val="004C560F"/>
    <w:rsid w:val="004C691D"/>
    <w:rsid w:val="004D1599"/>
    <w:rsid w:val="004D16E7"/>
    <w:rsid w:val="004D21C0"/>
    <w:rsid w:val="004D5610"/>
    <w:rsid w:val="004D6227"/>
    <w:rsid w:val="004D7400"/>
    <w:rsid w:val="004D77C1"/>
    <w:rsid w:val="004D7955"/>
    <w:rsid w:val="004E00D8"/>
    <w:rsid w:val="004E053D"/>
    <w:rsid w:val="004E0634"/>
    <w:rsid w:val="004E0866"/>
    <w:rsid w:val="004E0D4F"/>
    <w:rsid w:val="004E10DF"/>
    <w:rsid w:val="004E2A89"/>
    <w:rsid w:val="004E391B"/>
    <w:rsid w:val="004E4010"/>
    <w:rsid w:val="004E4785"/>
    <w:rsid w:val="004E5C19"/>
    <w:rsid w:val="004E625B"/>
    <w:rsid w:val="004E643F"/>
    <w:rsid w:val="004E6BA6"/>
    <w:rsid w:val="004E7616"/>
    <w:rsid w:val="004E7B58"/>
    <w:rsid w:val="004F04F4"/>
    <w:rsid w:val="004F0CA8"/>
    <w:rsid w:val="004F2895"/>
    <w:rsid w:val="004F29C4"/>
    <w:rsid w:val="004F37A8"/>
    <w:rsid w:val="004F399C"/>
    <w:rsid w:val="004F4197"/>
    <w:rsid w:val="004F4E69"/>
    <w:rsid w:val="004F4EF5"/>
    <w:rsid w:val="004F56C1"/>
    <w:rsid w:val="004F5E99"/>
    <w:rsid w:val="004F64AD"/>
    <w:rsid w:val="004F7142"/>
    <w:rsid w:val="004F7830"/>
    <w:rsid w:val="004F7983"/>
    <w:rsid w:val="00500C5D"/>
    <w:rsid w:val="00501979"/>
    <w:rsid w:val="00501998"/>
    <w:rsid w:val="0050297C"/>
    <w:rsid w:val="00502D9E"/>
    <w:rsid w:val="00503020"/>
    <w:rsid w:val="0050313F"/>
    <w:rsid w:val="00504632"/>
    <w:rsid w:val="0050496D"/>
    <w:rsid w:val="0050552A"/>
    <w:rsid w:val="00505CFE"/>
    <w:rsid w:val="005063CD"/>
    <w:rsid w:val="00506C9B"/>
    <w:rsid w:val="005104C9"/>
    <w:rsid w:val="00510CA3"/>
    <w:rsid w:val="00511010"/>
    <w:rsid w:val="00512729"/>
    <w:rsid w:val="00512F71"/>
    <w:rsid w:val="005140EE"/>
    <w:rsid w:val="00514447"/>
    <w:rsid w:val="00515622"/>
    <w:rsid w:val="00515FF6"/>
    <w:rsid w:val="005160E2"/>
    <w:rsid w:val="005165C7"/>
    <w:rsid w:val="0051703F"/>
    <w:rsid w:val="0052053E"/>
    <w:rsid w:val="00521913"/>
    <w:rsid w:val="00522863"/>
    <w:rsid w:val="00522F48"/>
    <w:rsid w:val="00523537"/>
    <w:rsid w:val="00524004"/>
    <w:rsid w:val="00524139"/>
    <w:rsid w:val="00524233"/>
    <w:rsid w:val="00525681"/>
    <w:rsid w:val="00526C48"/>
    <w:rsid w:val="00526EB1"/>
    <w:rsid w:val="00530568"/>
    <w:rsid w:val="00530967"/>
    <w:rsid w:val="005315B6"/>
    <w:rsid w:val="005324B7"/>
    <w:rsid w:val="00533884"/>
    <w:rsid w:val="00533E95"/>
    <w:rsid w:val="00534881"/>
    <w:rsid w:val="0053526D"/>
    <w:rsid w:val="00535932"/>
    <w:rsid w:val="00536705"/>
    <w:rsid w:val="00536E12"/>
    <w:rsid w:val="005378C3"/>
    <w:rsid w:val="00537D4B"/>
    <w:rsid w:val="005404D4"/>
    <w:rsid w:val="00540A1D"/>
    <w:rsid w:val="00540F88"/>
    <w:rsid w:val="00541143"/>
    <w:rsid w:val="00541DFE"/>
    <w:rsid w:val="005423D2"/>
    <w:rsid w:val="00543000"/>
    <w:rsid w:val="00544673"/>
    <w:rsid w:val="00545865"/>
    <w:rsid w:val="00545B4A"/>
    <w:rsid w:val="00545F4E"/>
    <w:rsid w:val="00547402"/>
    <w:rsid w:val="005478D5"/>
    <w:rsid w:val="00550B83"/>
    <w:rsid w:val="00551303"/>
    <w:rsid w:val="0055186C"/>
    <w:rsid w:val="005525C6"/>
    <w:rsid w:val="00553133"/>
    <w:rsid w:val="00553655"/>
    <w:rsid w:val="00553EFC"/>
    <w:rsid w:val="005540E1"/>
    <w:rsid w:val="00555A6D"/>
    <w:rsid w:val="00556BAC"/>
    <w:rsid w:val="0055744B"/>
    <w:rsid w:val="005575E3"/>
    <w:rsid w:val="00557FED"/>
    <w:rsid w:val="0056290B"/>
    <w:rsid w:val="005632E6"/>
    <w:rsid w:val="005653E3"/>
    <w:rsid w:val="005660D5"/>
    <w:rsid w:val="005668F3"/>
    <w:rsid w:val="00566BA8"/>
    <w:rsid w:val="00570385"/>
    <w:rsid w:val="005710D7"/>
    <w:rsid w:val="00571649"/>
    <w:rsid w:val="005724D7"/>
    <w:rsid w:val="0057327A"/>
    <w:rsid w:val="005734B3"/>
    <w:rsid w:val="00573A77"/>
    <w:rsid w:val="0057478E"/>
    <w:rsid w:val="00575995"/>
    <w:rsid w:val="00575A91"/>
    <w:rsid w:val="0057675E"/>
    <w:rsid w:val="00576D2F"/>
    <w:rsid w:val="00577BFB"/>
    <w:rsid w:val="0058003F"/>
    <w:rsid w:val="005804D3"/>
    <w:rsid w:val="00581C87"/>
    <w:rsid w:val="00581EDE"/>
    <w:rsid w:val="00582180"/>
    <w:rsid w:val="0058442F"/>
    <w:rsid w:val="00585498"/>
    <w:rsid w:val="005857E5"/>
    <w:rsid w:val="00585839"/>
    <w:rsid w:val="00585937"/>
    <w:rsid w:val="00585D26"/>
    <w:rsid w:val="00585FA8"/>
    <w:rsid w:val="005870EF"/>
    <w:rsid w:val="005908AA"/>
    <w:rsid w:val="00591736"/>
    <w:rsid w:val="00591927"/>
    <w:rsid w:val="00591DAB"/>
    <w:rsid w:val="00592AE8"/>
    <w:rsid w:val="00592F64"/>
    <w:rsid w:val="005936AF"/>
    <w:rsid w:val="0059444B"/>
    <w:rsid w:val="0059453C"/>
    <w:rsid w:val="00594D2C"/>
    <w:rsid w:val="005951CD"/>
    <w:rsid w:val="00595C47"/>
    <w:rsid w:val="005978AD"/>
    <w:rsid w:val="005A04E5"/>
    <w:rsid w:val="005A1113"/>
    <w:rsid w:val="005A1818"/>
    <w:rsid w:val="005A1D91"/>
    <w:rsid w:val="005A2891"/>
    <w:rsid w:val="005A2C6B"/>
    <w:rsid w:val="005A2FD7"/>
    <w:rsid w:val="005A316A"/>
    <w:rsid w:val="005A319A"/>
    <w:rsid w:val="005A41C9"/>
    <w:rsid w:val="005A4525"/>
    <w:rsid w:val="005A453E"/>
    <w:rsid w:val="005A72A6"/>
    <w:rsid w:val="005B0944"/>
    <w:rsid w:val="005B0A6B"/>
    <w:rsid w:val="005B1637"/>
    <w:rsid w:val="005B1AE8"/>
    <w:rsid w:val="005B3148"/>
    <w:rsid w:val="005B3F07"/>
    <w:rsid w:val="005B74BC"/>
    <w:rsid w:val="005B78B3"/>
    <w:rsid w:val="005C05BB"/>
    <w:rsid w:val="005C0633"/>
    <w:rsid w:val="005C1035"/>
    <w:rsid w:val="005C1808"/>
    <w:rsid w:val="005C1A1D"/>
    <w:rsid w:val="005C1BE6"/>
    <w:rsid w:val="005C1D7A"/>
    <w:rsid w:val="005C3504"/>
    <w:rsid w:val="005C3CE2"/>
    <w:rsid w:val="005C4807"/>
    <w:rsid w:val="005C530A"/>
    <w:rsid w:val="005C57A5"/>
    <w:rsid w:val="005C5D0A"/>
    <w:rsid w:val="005C7CD9"/>
    <w:rsid w:val="005D094A"/>
    <w:rsid w:val="005D0AA8"/>
    <w:rsid w:val="005D0D9B"/>
    <w:rsid w:val="005D1B9B"/>
    <w:rsid w:val="005D1C09"/>
    <w:rsid w:val="005D226E"/>
    <w:rsid w:val="005D2717"/>
    <w:rsid w:val="005D2A5C"/>
    <w:rsid w:val="005D465E"/>
    <w:rsid w:val="005D4D7F"/>
    <w:rsid w:val="005D5495"/>
    <w:rsid w:val="005D61B1"/>
    <w:rsid w:val="005D6640"/>
    <w:rsid w:val="005D6E1E"/>
    <w:rsid w:val="005D7AED"/>
    <w:rsid w:val="005E0339"/>
    <w:rsid w:val="005E0924"/>
    <w:rsid w:val="005E0BDB"/>
    <w:rsid w:val="005E184C"/>
    <w:rsid w:val="005E2305"/>
    <w:rsid w:val="005E2BA9"/>
    <w:rsid w:val="005E37AC"/>
    <w:rsid w:val="005E3EE4"/>
    <w:rsid w:val="005E46E6"/>
    <w:rsid w:val="005E60E1"/>
    <w:rsid w:val="005E6603"/>
    <w:rsid w:val="005E6F3E"/>
    <w:rsid w:val="005E73A0"/>
    <w:rsid w:val="005E7B07"/>
    <w:rsid w:val="005E7BB5"/>
    <w:rsid w:val="005F0035"/>
    <w:rsid w:val="005F1F06"/>
    <w:rsid w:val="005F4106"/>
    <w:rsid w:val="005F515C"/>
    <w:rsid w:val="005F57ED"/>
    <w:rsid w:val="005F6B45"/>
    <w:rsid w:val="005F7040"/>
    <w:rsid w:val="005F7713"/>
    <w:rsid w:val="006019CA"/>
    <w:rsid w:val="00604920"/>
    <w:rsid w:val="006061BF"/>
    <w:rsid w:val="00607908"/>
    <w:rsid w:val="00607C2C"/>
    <w:rsid w:val="00610FE4"/>
    <w:rsid w:val="00611836"/>
    <w:rsid w:val="00612200"/>
    <w:rsid w:val="00612B5C"/>
    <w:rsid w:val="00612BD3"/>
    <w:rsid w:val="0061324E"/>
    <w:rsid w:val="0061573A"/>
    <w:rsid w:val="00616071"/>
    <w:rsid w:val="00616261"/>
    <w:rsid w:val="006166B5"/>
    <w:rsid w:val="006169CB"/>
    <w:rsid w:val="00616C10"/>
    <w:rsid w:val="00616EEA"/>
    <w:rsid w:val="00617402"/>
    <w:rsid w:val="00617683"/>
    <w:rsid w:val="00620A71"/>
    <w:rsid w:val="00621538"/>
    <w:rsid w:val="006219B8"/>
    <w:rsid w:val="00621AE2"/>
    <w:rsid w:val="00623204"/>
    <w:rsid w:val="00623289"/>
    <w:rsid w:val="00623D06"/>
    <w:rsid w:val="006240D2"/>
    <w:rsid w:val="006242C2"/>
    <w:rsid w:val="00624CDD"/>
    <w:rsid w:val="00625018"/>
    <w:rsid w:val="00625BCA"/>
    <w:rsid w:val="00626BEE"/>
    <w:rsid w:val="00626F77"/>
    <w:rsid w:val="0063031C"/>
    <w:rsid w:val="006305FE"/>
    <w:rsid w:val="00630D5E"/>
    <w:rsid w:val="00632D2F"/>
    <w:rsid w:val="00632FEE"/>
    <w:rsid w:val="0063300D"/>
    <w:rsid w:val="0063415A"/>
    <w:rsid w:val="00635E8E"/>
    <w:rsid w:val="00636CF3"/>
    <w:rsid w:val="006377D4"/>
    <w:rsid w:val="00637D66"/>
    <w:rsid w:val="00643774"/>
    <w:rsid w:val="0064385B"/>
    <w:rsid w:val="00643E7F"/>
    <w:rsid w:val="00644995"/>
    <w:rsid w:val="00645473"/>
    <w:rsid w:val="006457F0"/>
    <w:rsid w:val="00646491"/>
    <w:rsid w:val="00647080"/>
    <w:rsid w:val="006503E3"/>
    <w:rsid w:val="0065100C"/>
    <w:rsid w:val="0065145B"/>
    <w:rsid w:val="006516B5"/>
    <w:rsid w:val="006518B2"/>
    <w:rsid w:val="00651F6D"/>
    <w:rsid w:val="00652F3E"/>
    <w:rsid w:val="00654296"/>
    <w:rsid w:val="00654855"/>
    <w:rsid w:val="00654B55"/>
    <w:rsid w:val="00655705"/>
    <w:rsid w:val="006562B9"/>
    <w:rsid w:val="006562E1"/>
    <w:rsid w:val="006566DA"/>
    <w:rsid w:val="00657785"/>
    <w:rsid w:val="00657E36"/>
    <w:rsid w:val="006609D4"/>
    <w:rsid w:val="00661A1E"/>
    <w:rsid w:val="00661D02"/>
    <w:rsid w:val="00662301"/>
    <w:rsid w:val="006623FD"/>
    <w:rsid w:val="006627A6"/>
    <w:rsid w:val="006628EB"/>
    <w:rsid w:val="00663DCA"/>
    <w:rsid w:val="00663E83"/>
    <w:rsid w:val="00665383"/>
    <w:rsid w:val="0066540D"/>
    <w:rsid w:val="0066561A"/>
    <w:rsid w:val="006673AA"/>
    <w:rsid w:val="00667D8A"/>
    <w:rsid w:val="006707AD"/>
    <w:rsid w:val="00670CA5"/>
    <w:rsid w:val="00673594"/>
    <w:rsid w:val="00673990"/>
    <w:rsid w:val="006747A5"/>
    <w:rsid w:val="00675D0B"/>
    <w:rsid w:val="00676208"/>
    <w:rsid w:val="006770FF"/>
    <w:rsid w:val="00677B77"/>
    <w:rsid w:val="006806F3"/>
    <w:rsid w:val="006806F8"/>
    <w:rsid w:val="006819D2"/>
    <w:rsid w:val="00681B03"/>
    <w:rsid w:val="00681E69"/>
    <w:rsid w:val="006837C2"/>
    <w:rsid w:val="006839E8"/>
    <w:rsid w:val="00684023"/>
    <w:rsid w:val="00684535"/>
    <w:rsid w:val="006845B0"/>
    <w:rsid w:val="006845DF"/>
    <w:rsid w:val="00685D8C"/>
    <w:rsid w:val="00685E9B"/>
    <w:rsid w:val="006861A1"/>
    <w:rsid w:val="00686BE2"/>
    <w:rsid w:val="00687960"/>
    <w:rsid w:val="006930CE"/>
    <w:rsid w:val="006930EE"/>
    <w:rsid w:val="00694137"/>
    <w:rsid w:val="006944D1"/>
    <w:rsid w:val="00694AA1"/>
    <w:rsid w:val="00695A6F"/>
    <w:rsid w:val="006961C3"/>
    <w:rsid w:val="00697F1F"/>
    <w:rsid w:val="006A0583"/>
    <w:rsid w:val="006A1494"/>
    <w:rsid w:val="006A1BE0"/>
    <w:rsid w:val="006A3F3C"/>
    <w:rsid w:val="006A422A"/>
    <w:rsid w:val="006A4667"/>
    <w:rsid w:val="006A4D6B"/>
    <w:rsid w:val="006A62B5"/>
    <w:rsid w:val="006A6AE7"/>
    <w:rsid w:val="006A7F48"/>
    <w:rsid w:val="006B0371"/>
    <w:rsid w:val="006B0BED"/>
    <w:rsid w:val="006B0C1A"/>
    <w:rsid w:val="006B0CB0"/>
    <w:rsid w:val="006B0FBF"/>
    <w:rsid w:val="006B10C5"/>
    <w:rsid w:val="006B17A8"/>
    <w:rsid w:val="006B1829"/>
    <w:rsid w:val="006B1F37"/>
    <w:rsid w:val="006B21E2"/>
    <w:rsid w:val="006B253F"/>
    <w:rsid w:val="006B2B62"/>
    <w:rsid w:val="006B36B5"/>
    <w:rsid w:val="006B4970"/>
    <w:rsid w:val="006B6A28"/>
    <w:rsid w:val="006B6E63"/>
    <w:rsid w:val="006B7E6C"/>
    <w:rsid w:val="006C02A5"/>
    <w:rsid w:val="006C03D8"/>
    <w:rsid w:val="006C06C4"/>
    <w:rsid w:val="006C0DF8"/>
    <w:rsid w:val="006C1A8A"/>
    <w:rsid w:val="006C3BF5"/>
    <w:rsid w:val="006C5170"/>
    <w:rsid w:val="006C517D"/>
    <w:rsid w:val="006C53DF"/>
    <w:rsid w:val="006C5D14"/>
    <w:rsid w:val="006C6A59"/>
    <w:rsid w:val="006C716F"/>
    <w:rsid w:val="006C7B9C"/>
    <w:rsid w:val="006D0B8D"/>
    <w:rsid w:val="006D18F2"/>
    <w:rsid w:val="006D24D2"/>
    <w:rsid w:val="006D306D"/>
    <w:rsid w:val="006D3BF6"/>
    <w:rsid w:val="006D47EA"/>
    <w:rsid w:val="006D51EE"/>
    <w:rsid w:val="006D5949"/>
    <w:rsid w:val="006D5B53"/>
    <w:rsid w:val="006D5D1A"/>
    <w:rsid w:val="006D64FC"/>
    <w:rsid w:val="006D6843"/>
    <w:rsid w:val="006D70B6"/>
    <w:rsid w:val="006D78BA"/>
    <w:rsid w:val="006E0695"/>
    <w:rsid w:val="006E0796"/>
    <w:rsid w:val="006E1443"/>
    <w:rsid w:val="006E4CD3"/>
    <w:rsid w:val="006E4FD3"/>
    <w:rsid w:val="006E5BC7"/>
    <w:rsid w:val="006E676C"/>
    <w:rsid w:val="006E6C22"/>
    <w:rsid w:val="006E6C87"/>
    <w:rsid w:val="006E7B6E"/>
    <w:rsid w:val="006F0124"/>
    <w:rsid w:val="006F0F6C"/>
    <w:rsid w:val="006F13B9"/>
    <w:rsid w:val="006F194A"/>
    <w:rsid w:val="006F1D21"/>
    <w:rsid w:val="006F2060"/>
    <w:rsid w:val="006F22CB"/>
    <w:rsid w:val="006F2B05"/>
    <w:rsid w:val="006F3680"/>
    <w:rsid w:val="006F36B2"/>
    <w:rsid w:val="006F39E0"/>
    <w:rsid w:val="006F4228"/>
    <w:rsid w:val="006F4D9F"/>
    <w:rsid w:val="006F5AF8"/>
    <w:rsid w:val="006F5B3C"/>
    <w:rsid w:val="006F65E3"/>
    <w:rsid w:val="006F6932"/>
    <w:rsid w:val="006F7F86"/>
    <w:rsid w:val="007007FB"/>
    <w:rsid w:val="00700876"/>
    <w:rsid w:val="00700C02"/>
    <w:rsid w:val="00700CDB"/>
    <w:rsid w:val="00701B1A"/>
    <w:rsid w:val="00701BCB"/>
    <w:rsid w:val="00702FA0"/>
    <w:rsid w:val="0070338B"/>
    <w:rsid w:val="00704C9F"/>
    <w:rsid w:val="0070655B"/>
    <w:rsid w:val="007069F0"/>
    <w:rsid w:val="0070735A"/>
    <w:rsid w:val="007103EF"/>
    <w:rsid w:val="00710A10"/>
    <w:rsid w:val="00710FED"/>
    <w:rsid w:val="0071221A"/>
    <w:rsid w:val="00712496"/>
    <w:rsid w:val="00712BAF"/>
    <w:rsid w:val="007140FD"/>
    <w:rsid w:val="007152B4"/>
    <w:rsid w:val="0071565F"/>
    <w:rsid w:val="00715ACE"/>
    <w:rsid w:val="00715C85"/>
    <w:rsid w:val="007165DA"/>
    <w:rsid w:val="00716860"/>
    <w:rsid w:val="007207F9"/>
    <w:rsid w:val="007212D2"/>
    <w:rsid w:val="00721771"/>
    <w:rsid w:val="007221B9"/>
    <w:rsid w:val="007225D8"/>
    <w:rsid w:val="00722826"/>
    <w:rsid w:val="00722D3C"/>
    <w:rsid w:val="0072364D"/>
    <w:rsid w:val="00723BAB"/>
    <w:rsid w:val="00723BC1"/>
    <w:rsid w:val="00723D2E"/>
    <w:rsid w:val="00725184"/>
    <w:rsid w:val="00725478"/>
    <w:rsid w:val="007254CF"/>
    <w:rsid w:val="00725891"/>
    <w:rsid w:val="007260D2"/>
    <w:rsid w:val="0072795C"/>
    <w:rsid w:val="007306AB"/>
    <w:rsid w:val="007323EC"/>
    <w:rsid w:val="0073297A"/>
    <w:rsid w:val="00732CBC"/>
    <w:rsid w:val="007347D2"/>
    <w:rsid w:val="00735005"/>
    <w:rsid w:val="00735DF1"/>
    <w:rsid w:val="00737840"/>
    <w:rsid w:val="00737A1B"/>
    <w:rsid w:val="00740F53"/>
    <w:rsid w:val="00741025"/>
    <w:rsid w:val="00741577"/>
    <w:rsid w:val="00742A62"/>
    <w:rsid w:val="007442D4"/>
    <w:rsid w:val="0074496D"/>
    <w:rsid w:val="00745CF0"/>
    <w:rsid w:val="007469E3"/>
    <w:rsid w:val="00746F7D"/>
    <w:rsid w:val="007475E7"/>
    <w:rsid w:val="00747C98"/>
    <w:rsid w:val="00750493"/>
    <w:rsid w:val="0075049C"/>
    <w:rsid w:val="00750B57"/>
    <w:rsid w:val="00750BF4"/>
    <w:rsid w:val="0075171D"/>
    <w:rsid w:val="00753B5E"/>
    <w:rsid w:val="007548D3"/>
    <w:rsid w:val="00756553"/>
    <w:rsid w:val="0075696E"/>
    <w:rsid w:val="00756EC3"/>
    <w:rsid w:val="00756F44"/>
    <w:rsid w:val="00760DC5"/>
    <w:rsid w:val="00762A39"/>
    <w:rsid w:val="00762B0C"/>
    <w:rsid w:val="00763498"/>
    <w:rsid w:val="00763E23"/>
    <w:rsid w:val="007646AA"/>
    <w:rsid w:val="00764701"/>
    <w:rsid w:val="00765560"/>
    <w:rsid w:val="00766734"/>
    <w:rsid w:val="007668F3"/>
    <w:rsid w:val="00766939"/>
    <w:rsid w:val="00766E09"/>
    <w:rsid w:val="00766ED5"/>
    <w:rsid w:val="00770ADD"/>
    <w:rsid w:val="007719C0"/>
    <w:rsid w:val="00771D12"/>
    <w:rsid w:val="0077275B"/>
    <w:rsid w:val="00772EA2"/>
    <w:rsid w:val="00773E12"/>
    <w:rsid w:val="00773F22"/>
    <w:rsid w:val="007755E0"/>
    <w:rsid w:val="00775EBD"/>
    <w:rsid w:val="00775FED"/>
    <w:rsid w:val="00777FC5"/>
    <w:rsid w:val="007806B7"/>
    <w:rsid w:val="00782A61"/>
    <w:rsid w:val="00783136"/>
    <w:rsid w:val="007838A2"/>
    <w:rsid w:val="00783D58"/>
    <w:rsid w:val="00784898"/>
    <w:rsid w:val="00785F39"/>
    <w:rsid w:val="007864CE"/>
    <w:rsid w:val="00786591"/>
    <w:rsid w:val="00787057"/>
    <w:rsid w:val="00787267"/>
    <w:rsid w:val="00787528"/>
    <w:rsid w:val="00787DDF"/>
    <w:rsid w:val="00787E62"/>
    <w:rsid w:val="00790CD8"/>
    <w:rsid w:val="00791287"/>
    <w:rsid w:val="007925E4"/>
    <w:rsid w:val="0079410D"/>
    <w:rsid w:val="00794323"/>
    <w:rsid w:val="00795264"/>
    <w:rsid w:val="00795423"/>
    <w:rsid w:val="00796995"/>
    <w:rsid w:val="00796F8D"/>
    <w:rsid w:val="007974EF"/>
    <w:rsid w:val="007977C6"/>
    <w:rsid w:val="007A15E4"/>
    <w:rsid w:val="007A1F15"/>
    <w:rsid w:val="007A21D2"/>
    <w:rsid w:val="007A2434"/>
    <w:rsid w:val="007A2C1C"/>
    <w:rsid w:val="007A36EE"/>
    <w:rsid w:val="007A3FF5"/>
    <w:rsid w:val="007A5042"/>
    <w:rsid w:val="007A58CD"/>
    <w:rsid w:val="007A5C9C"/>
    <w:rsid w:val="007A68E3"/>
    <w:rsid w:val="007B0202"/>
    <w:rsid w:val="007B06CB"/>
    <w:rsid w:val="007B101C"/>
    <w:rsid w:val="007B11E9"/>
    <w:rsid w:val="007B19A9"/>
    <w:rsid w:val="007B317D"/>
    <w:rsid w:val="007B3988"/>
    <w:rsid w:val="007B634F"/>
    <w:rsid w:val="007B70D0"/>
    <w:rsid w:val="007C00DC"/>
    <w:rsid w:val="007C0EAD"/>
    <w:rsid w:val="007C15E9"/>
    <w:rsid w:val="007C162C"/>
    <w:rsid w:val="007C6F50"/>
    <w:rsid w:val="007C77F1"/>
    <w:rsid w:val="007C7FBD"/>
    <w:rsid w:val="007D0166"/>
    <w:rsid w:val="007D0814"/>
    <w:rsid w:val="007D0859"/>
    <w:rsid w:val="007D0FE4"/>
    <w:rsid w:val="007D12D6"/>
    <w:rsid w:val="007D2774"/>
    <w:rsid w:val="007D382F"/>
    <w:rsid w:val="007D3F66"/>
    <w:rsid w:val="007D4517"/>
    <w:rsid w:val="007D4EA2"/>
    <w:rsid w:val="007D5FA9"/>
    <w:rsid w:val="007D781C"/>
    <w:rsid w:val="007E002D"/>
    <w:rsid w:val="007E03C8"/>
    <w:rsid w:val="007E0BA6"/>
    <w:rsid w:val="007E1542"/>
    <w:rsid w:val="007E1EB4"/>
    <w:rsid w:val="007E2212"/>
    <w:rsid w:val="007E2B6F"/>
    <w:rsid w:val="007E30E8"/>
    <w:rsid w:val="007E3C8A"/>
    <w:rsid w:val="007E3E89"/>
    <w:rsid w:val="007E5511"/>
    <w:rsid w:val="007E5516"/>
    <w:rsid w:val="007E694D"/>
    <w:rsid w:val="007E6D01"/>
    <w:rsid w:val="007E79C0"/>
    <w:rsid w:val="007F3204"/>
    <w:rsid w:val="007F5181"/>
    <w:rsid w:val="00800557"/>
    <w:rsid w:val="00800F8E"/>
    <w:rsid w:val="0080191F"/>
    <w:rsid w:val="00803108"/>
    <w:rsid w:val="00804267"/>
    <w:rsid w:val="00805C53"/>
    <w:rsid w:val="0080650E"/>
    <w:rsid w:val="00806D1B"/>
    <w:rsid w:val="00806D90"/>
    <w:rsid w:val="00807611"/>
    <w:rsid w:val="00807667"/>
    <w:rsid w:val="008077E5"/>
    <w:rsid w:val="00807F73"/>
    <w:rsid w:val="00810A82"/>
    <w:rsid w:val="00811229"/>
    <w:rsid w:val="0081173A"/>
    <w:rsid w:val="00812129"/>
    <w:rsid w:val="008122DF"/>
    <w:rsid w:val="00812412"/>
    <w:rsid w:val="00812C52"/>
    <w:rsid w:val="00812E92"/>
    <w:rsid w:val="00813766"/>
    <w:rsid w:val="00813C86"/>
    <w:rsid w:val="00814281"/>
    <w:rsid w:val="008147CA"/>
    <w:rsid w:val="00814AD3"/>
    <w:rsid w:val="00815483"/>
    <w:rsid w:val="00816F66"/>
    <w:rsid w:val="00817518"/>
    <w:rsid w:val="0081785A"/>
    <w:rsid w:val="00820760"/>
    <w:rsid w:val="00820CED"/>
    <w:rsid w:val="00822447"/>
    <w:rsid w:val="008229E6"/>
    <w:rsid w:val="00823610"/>
    <w:rsid w:val="00823F5B"/>
    <w:rsid w:val="00824308"/>
    <w:rsid w:val="00824775"/>
    <w:rsid w:val="008249B6"/>
    <w:rsid w:val="00824DDB"/>
    <w:rsid w:val="0082576B"/>
    <w:rsid w:val="008259E2"/>
    <w:rsid w:val="008260B7"/>
    <w:rsid w:val="0082662F"/>
    <w:rsid w:val="008272DF"/>
    <w:rsid w:val="00827F50"/>
    <w:rsid w:val="008307F8"/>
    <w:rsid w:val="008311F0"/>
    <w:rsid w:val="008313AB"/>
    <w:rsid w:val="00831E88"/>
    <w:rsid w:val="008325DC"/>
    <w:rsid w:val="00832C18"/>
    <w:rsid w:val="00834797"/>
    <w:rsid w:val="00835E0A"/>
    <w:rsid w:val="00836513"/>
    <w:rsid w:val="008415AC"/>
    <w:rsid w:val="00841620"/>
    <w:rsid w:val="00842991"/>
    <w:rsid w:val="00843FA6"/>
    <w:rsid w:val="00844053"/>
    <w:rsid w:val="00845BB1"/>
    <w:rsid w:val="00845C30"/>
    <w:rsid w:val="00845E38"/>
    <w:rsid w:val="0084610D"/>
    <w:rsid w:val="008467E4"/>
    <w:rsid w:val="00847041"/>
    <w:rsid w:val="0084730E"/>
    <w:rsid w:val="00850752"/>
    <w:rsid w:val="00850C06"/>
    <w:rsid w:val="00852264"/>
    <w:rsid w:val="0085244A"/>
    <w:rsid w:val="00853541"/>
    <w:rsid w:val="0085488D"/>
    <w:rsid w:val="00855E02"/>
    <w:rsid w:val="008565FD"/>
    <w:rsid w:val="008574A0"/>
    <w:rsid w:val="00857B36"/>
    <w:rsid w:val="00860C17"/>
    <w:rsid w:val="00864455"/>
    <w:rsid w:val="00865FB0"/>
    <w:rsid w:val="0086610A"/>
    <w:rsid w:val="008663AD"/>
    <w:rsid w:val="008673E3"/>
    <w:rsid w:val="00871BD6"/>
    <w:rsid w:val="008734C4"/>
    <w:rsid w:val="00873A38"/>
    <w:rsid w:val="00875F88"/>
    <w:rsid w:val="00875FEA"/>
    <w:rsid w:val="008760F8"/>
    <w:rsid w:val="008772F9"/>
    <w:rsid w:val="00880001"/>
    <w:rsid w:val="0088078C"/>
    <w:rsid w:val="00880E1D"/>
    <w:rsid w:val="00881DC8"/>
    <w:rsid w:val="008826C7"/>
    <w:rsid w:val="00883E56"/>
    <w:rsid w:val="00884160"/>
    <w:rsid w:val="0088465A"/>
    <w:rsid w:val="0088496A"/>
    <w:rsid w:val="00884FAE"/>
    <w:rsid w:val="0088640B"/>
    <w:rsid w:val="00886B6A"/>
    <w:rsid w:val="00887750"/>
    <w:rsid w:val="00887F42"/>
    <w:rsid w:val="008908A9"/>
    <w:rsid w:val="00890F18"/>
    <w:rsid w:val="00892721"/>
    <w:rsid w:val="00892D80"/>
    <w:rsid w:val="0089565D"/>
    <w:rsid w:val="008959D8"/>
    <w:rsid w:val="00896072"/>
    <w:rsid w:val="00896BC2"/>
    <w:rsid w:val="00897593"/>
    <w:rsid w:val="008A1666"/>
    <w:rsid w:val="008A3F86"/>
    <w:rsid w:val="008A4845"/>
    <w:rsid w:val="008A5636"/>
    <w:rsid w:val="008A6997"/>
    <w:rsid w:val="008A7E29"/>
    <w:rsid w:val="008B0C11"/>
    <w:rsid w:val="008B1AB1"/>
    <w:rsid w:val="008B1C86"/>
    <w:rsid w:val="008B29C7"/>
    <w:rsid w:val="008B2CD9"/>
    <w:rsid w:val="008B3316"/>
    <w:rsid w:val="008B39F3"/>
    <w:rsid w:val="008B431E"/>
    <w:rsid w:val="008B4863"/>
    <w:rsid w:val="008B490A"/>
    <w:rsid w:val="008B494E"/>
    <w:rsid w:val="008B572A"/>
    <w:rsid w:val="008B5CAC"/>
    <w:rsid w:val="008B6204"/>
    <w:rsid w:val="008B7E20"/>
    <w:rsid w:val="008C06BA"/>
    <w:rsid w:val="008C0DD0"/>
    <w:rsid w:val="008C1360"/>
    <w:rsid w:val="008C27AA"/>
    <w:rsid w:val="008C2F7F"/>
    <w:rsid w:val="008C32F2"/>
    <w:rsid w:val="008C3C4E"/>
    <w:rsid w:val="008C3CE7"/>
    <w:rsid w:val="008C41FC"/>
    <w:rsid w:val="008C493B"/>
    <w:rsid w:val="008C4FB5"/>
    <w:rsid w:val="008C5BAC"/>
    <w:rsid w:val="008C679B"/>
    <w:rsid w:val="008C6ACF"/>
    <w:rsid w:val="008C73A9"/>
    <w:rsid w:val="008C74CA"/>
    <w:rsid w:val="008C775E"/>
    <w:rsid w:val="008C7D64"/>
    <w:rsid w:val="008D02B0"/>
    <w:rsid w:val="008D084E"/>
    <w:rsid w:val="008D0BB0"/>
    <w:rsid w:val="008D2154"/>
    <w:rsid w:val="008D2635"/>
    <w:rsid w:val="008D2AC7"/>
    <w:rsid w:val="008D30F3"/>
    <w:rsid w:val="008D3482"/>
    <w:rsid w:val="008D4076"/>
    <w:rsid w:val="008D4394"/>
    <w:rsid w:val="008D4509"/>
    <w:rsid w:val="008D63E2"/>
    <w:rsid w:val="008D679B"/>
    <w:rsid w:val="008D6921"/>
    <w:rsid w:val="008D6E20"/>
    <w:rsid w:val="008E009D"/>
    <w:rsid w:val="008E18D8"/>
    <w:rsid w:val="008E217E"/>
    <w:rsid w:val="008E24FE"/>
    <w:rsid w:val="008E27C5"/>
    <w:rsid w:val="008E28FC"/>
    <w:rsid w:val="008E5CAC"/>
    <w:rsid w:val="008E67ED"/>
    <w:rsid w:val="008E6A3E"/>
    <w:rsid w:val="008F1DF6"/>
    <w:rsid w:val="008F32D2"/>
    <w:rsid w:val="008F3B75"/>
    <w:rsid w:val="008F3F66"/>
    <w:rsid w:val="008F441E"/>
    <w:rsid w:val="008F5C15"/>
    <w:rsid w:val="008F62BD"/>
    <w:rsid w:val="008F6330"/>
    <w:rsid w:val="008F6728"/>
    <w:rsid w:val="008F6A0F"/>
    <w:rsid w:val="008F79E7"/>
    <w:rsid w:val="0090000E"/>
    <w:rsid w:val="009004CB"/>
    <w:rsid w:val="0090096D"/>
    <w:rsid w:val="00900BAB"/>
    <w:rsid w:val="00902A34"/>
    <w:rsid w:val="00903658"/>
    <w:rsid w:val="00903894"/>
    <w:rsid w:val="00904148"/>
    <w:rsid w:val="009053DB"/>
    <w:rsid w:val="0090633F"/>
    <w:rsid w:val="00906682"/>
    <w:rsid w:val="009076E2"/>
    <w:rsid w:val="00907750"/>
    <w:rsid w:val="009106E0"/>
    <w:rsid w:val="00911309"/>
    <w:rsid w:val="009117C6"/>
    <w:rsid w:val="00911828"/>
    <w:rsid w:val="009119F1"/>
    <w:rsid w:val="00912A6C"/>
    <w:rsid w:val="0091440E"/>
    <w:rsid w:val="00914A68"/>
    <w:rsid w:val="009158DE"/>
    <w:rsid w:val="00916D37"/>
    <w:rsid w:val="00920621"/>
    <w:rsid w:val="00921AD1"/>
    <w:rsid w:val="009234FE"/>
    <w:rsid w:val="00924738"/>
    <w:rsid w:val="00926AF6"/>
    <w:rsid w:val="009276A0"/>
    <w:rsid w:val="00927B88"/>
    <w:rsid w:val="00930184"/>
    <w:rsid w:val="009315C2"/>
    <w:rsid w:val="009316E2"/>
    <w:rsid w:val="009319F5"/>
    <w:rsid w:val="009335A6"/>
    <w:rsid w:val="009338FF"/>
    <w:rsid w:val="00933A05"/>
    <w:rsid w:val="00934A9F"/>
    <w:rsid w:val="00935233"/>
    <w:rsid w:val="009356EB"/>
    <w:rsid w:val="00935C0E"/>
    <w:rsid w:val="00936159"/>
    <w:rsid w:val="009408C5"/>
    <w:rsid w:val="00940901"/>
    <w:rsid w:val="009412BE"/>
    <w:rsid w:val="00941EFF"/>
    <w:rsid w:val="0094214A"/>
    <w:rsid w:val="00942303"/>
    <w:rsid w:val="009426AD"/>
    <w:rsid w:val="00943D13"/>
    <w:rsid w:val="00944087"/>
    <w:rsid w:val="009444C3"/>
    <w:rsid w:val="009445BA"/>
    <w:rsid w:val="00945062"/>
    <w:rsid w:val="0094633E"/>
    <w:rsid w:val="0094636C"/>
    <w:rsid w:val="00946694"/>
    <w:rsid w:val="00947A67"/>
    <w:rsid w:val="00947EE2"/>
    <w:rsid w:val="00950466"/>
    <w:rsid w:val="00950D66"/>
    <w:rsid w:val="00950E5F"/>
    <w:rsid w:val="00951561"/>
    <w:rsid w:val="00951F12"/>
    <w:rsid w:val="00953598"/>
    <w:rsid w:val="00953875"/>
    <w:rsid w:val="009541A4"/>
    <w:rsid w:val="00954708"/>
    <w:rsid w:val="0095482A"/>
    <w:rsid w:val="0095580B"/>
    <w:rsid w:val="00955D4A"/>
    <w:rsid w:val="00956B80"/>
    <w:rsid w:val="00956C6E"/>
    <w:rsid w:val="00957410"/>
    <w:rsid w:val="00957E0E"/>
    <w:rsid w:val="00957EAF"/>
    <w:rsid w:val="00960120"/>
    <w:rsid w:val="0096071F"/>
    <w:rsid w:val="00962237"/>
    <w:rsid w:val="009633F5"/>
    <w:rsid w:val="00964BC8"/>
    <w:rsid w:val="0096744F"/>
    <w:rsid w:val="00967BFE"/>
    <w:rsid w:val="009707AA"/>
    <w:rsid w:val="0097185A"/>
    <w:rsid w:val="0097202B"/>
    <w:rsid w:val="00972751"/>
    <w:rsid w:val="009742D6"/>
    <w:rsid w:val="009747A0"/>
    <w:rsid w:val="00974BC2"/>
    <w:rsid w:val="00975071"/>
    <w:rsid w:val="0097567B"/>
    <w:rsid w:val="009757E7"/>
    <w:rsid w:val="0097643F"/>
    <w:rsid w:val="0097663F"/>
    <w:rsid w:val="00976668"/>
    <w:rsid w:val="009767EF"/>
    <w:rsid w:val="00976958"/>
    <w:rsid w:val="009770A7"/>
    <w:rsid w:val="0097773D"/>
    <w:rsid w:val="00977D3D"/>
    <w:rsid w:val="00977DBF"/>
    <w:rsid w:val="00977F1A"/>
    <w:rsid w:val="00980115"/>
    <w:rsid w:val="00981A4F"/>
    <w:rsid w:val="00981EBF"/>
    <w:rsid w:val="00982F05"/>
    <w:rsid w:val="00983185"/>
    <w:rsid w:val="009836C3"/>
    <w:rsid w:val="00983C12"/>
    <w:rsid w:val="00983E93"/>
    <w:rsid w:val="00984098"/>
    <w:rsid w:val="0098442F"/>
    <w:rsid w:val="00985257"/>
    <w:rsid w:val="0098528A"/>
    <w:rsid w:val="00986777"/>
    <w:rsid w:val="009872EB"/>
    <w:rsid w:val="00987458"/>
    <w:rsid w:val="0098789A"/>
    <w:rsid w:val="009901F7"/>
    <w:rsid w:val="00990810"/>
    <w:rsid w:val="00990FD6"/>
    <w:rsid w:val="00991292"/>
    <w:rsid w:val="00991D53"/>
    <w:rsid w:val="0099200D"/>
    <w:rsid w:val="009926C1"/>
    <w:rsid w:val="009927E9"/>
    <w:rsid w:val="00992DCE"/>
    <w:rsid w:val="00993614"/>
    <w:rsid w:val="00993DB9"/>
    <w:rsid w:val="00994143"/>
    <w:rsid w:val="00995023"/>
    <w:rsid w:val="00995FF8"/>
    <w:rsid w:val="00996126"/>
    <w:rsid w:val="00996253"/>
    <w:rsid w:val="0099666E"/>
    <w:rsid w:val="00996BD0"/>
    <w:rsid w:val="009A3360"/>
    <w:rsid w:val="009A34AA"/>
    <w:rsid w:val="009A3C0F"/>
    <w:rsid w:val="009A439C"/>
    <w:rsid w:val="009A4FC9"/>
    <w:rsid w:val="009A59CE"/>
    <w:rsid w:val="009A5AB9"/>
    <w:rsid w:val="009A6819"/>
    <w:rsid w:val="009A7B0E"/>
    <w:rsid w:val="009A7DB6"/>
    <w:rsid w:val="009B044A"/>
    <w:rsid w:val="009B048F"/>
    <w:rsid w:val="009B0899"/>
    <w:rsid w:val="009B37B3"/>
    <w:rsid w:val="009B3A81"/>
    <w:rsid w:val="009B3B3A"/>
    <w:rsid w:val="009B3BA1"/>
    <w:rsid w:val="009B4157"/>
    <w:rsid w:val="009B4E21"/>
    <w:rsid w:val="009B557E"/>
    <w:rsid w:val="009B6B3E"/>
    <w:rsid w:val="009B7C00"/>
    <w:rsid w:val="009B7C6B"/>
    <w:rsid w:val="009C0A2E"/>
    <w:rsid w:val="009C0B35"/>
    <w:rsid w:val="009C154E"/>
    <w:rsid w:val="009C16A8"/>
    <w:rsid w:val="009C16E5"/>
    <w:rsid w:val="009C1BF5"/>
    <w:rsid w:val="009C1E06"/>
    <w:rsid w:val="009C2896"/>
    <w:rsid w:val="009C28C4"/>
    <w:rsid w:val="009C2BEB"/>
    <w:rsid w:val="009C2DA8"/>
    <w:rsid w:val="009C4880"/>
    <w:rsid w:val="009C48B7"/>
    <w:rsid w:val="009C4D49"/>
    <w:rsid w:val="009C545E"/>
    <w:rsid w:val="009C5482"/>
    <w:rsid w:val="009C7039"/>
    <w:rsid w:val="009D042B"/>
    <w:rsid w:val="009D1811"/>
    <w:rsid w:val="009D1D76"/>
    <w:rsid w:val="009D2428"/>
    <w:rsid w:val="009D2C06"/>
    <w:rsid w:val="009D341A"/>
    <w:rsid w:val="009D3E10"/>
    <w:rsid w:val="009D432C"/>
    <w:rsid w:val="009D43EE"/>
    <w:rsid w:val="009D4816"/>
    <w:rsid w:val="009D4FF8"/>
    <w:rsid w:val="009D53ED"/>
    <w:rsid w:val="009D58A8"/>
    <w:rsid w:val="009D7399"/>
    <w:rsid w:val="009D7571"/>
    <w:rsid w:val="009E013B"/>
    <w:rsid w:val="009E06D5"/>
    <w:rsid w:val="009E0B7D"/>
    <w:rsid w:val="009E11A1"/>
    <w:rsid w:val="009E141B"/>
    <w:rsid w:val="009E1735"/>
    <w:rsid w:val="009E1BCA"/>
    <w:rsid w:val="009E289E"/>
    <w:rsid w:val="009E4116"/>
    <w:rsid w:val="009E41D2"/>
    <w:rsid w:val="009E55F7"/>
    <w:rsid w:val="009E684E"/>
    <w:rsid w:val="009E7172"/>
    <w:rsid w:val="009F04E2"/>
    <w:rsid w:val="009F0C9F"/>
    <w:rsid w:val="009F0DC3"/>
    <w:rsid w:val="009F0E40"/>
    <w:rsid w:val="009F188F"/>
    <w:rsid w:val="009F429A"/>
    <w:rsid w:val="009F4D16"/>
    <w:rsid w:val="009F4E58"/>
    <w:rsid w:val="009F5360"/>
    <w:rsid w:val="009F557A"/>
    <w:rsid w:val="009F5EB2"/>
    <w:rsid w:val="009F7A2A"/>
    <w:rsid w:val="00A003C4"/>
    <w:rsid w:val="00A00F94"/>
    <w:rsid w:val="00A04E44"/>
    <w:rsid w:val="00A05570"/>
    <w:rsid w:val="00A05CA9"/>
    <w:rsid w:val="00A05E8D"/>
    <w:rsid w:val="00A05FD4"/>
    <w:rsid w:val="00A065E8"/>
    <w:rsid w:val="00A072CB"/>
    <w:rsid w:val="00A1067B"/>
    <w:rsid w:val="00A10943"/>
    <w:rsid w:val="00A10F72"/>
    <w:rsid w:val="00A113A2"/>
    <w:rsid w:val="00A1199E"/>
    <w:rsid w:val="00A1294D"/>
    <w:rsid w:val="00A13DA8"/>
    <w:rsid w:val="00A14563"/>
    <w:rsid w:val="00A14B49"/>
    <w:rsid w:val="00A159BE"/>
    <w:rsid w:val="00A16705"/>
    <w:rsid w:val="00A167EB"/>
    <w:rsid w:val="00A2008F"/>
    <w:rsid w:val="00A20C05"/>
    <w:rsid w:val="00A2311C"/>
    <w:rsid w:val="00A2349A"/>
    <w:rsid w:val="00A23CE5"/>
    <w:rsid w:val="00A2747C"/>
    <w:rsid w:val="00A274FB"/>
    <w:rsid w:val="00A27F10"/>
    <w:rsid w:val="00A303A6"/>
    <w:rsid w:val="00A32AF1"/>
    <w:rsid w:val="00A331C7"/>
    <w:rsid w:val="00A3335C"/>
    <w:rsid w:val="00A3373B"/>
    <w:rsid w:val="00A340C8"/>
    <w:rsid w:val="00A3442B"/>
    <w:rsid w:val="00A35444"/>
    <w:rsid w:val="00A35CA3"/>
    <w:rsid w:val="00A37612"/>
    <w:rsid w:val="00A40ABE"/>
    <w:rsid w:val="00A40AF5"/>
    <w:rsid w:val="00A41E1C"/>
    <w:rsid w:val="00A420EA"/>
    <w:rsid w:val="00A4313F"/>
    <w:rsid w:val="00A434A9"/>
    <w:rsid w:val="00A437FE"/>
    <w:rsid w:val="00A45801"/>
    <w:rsid w:val="00A45983"/>
    <w:rsid w:val="00A46F88"/>
    <w:rsid w:val="00A502A6"/>
    <w:rsid w:val="00A506AE"/>
    <w:rsid w:val="00A527F7"/>
    <w:rsid w:val="00A52FDB"/>
    <w:rsid w:val="00A531B6"/>
    <w:rsid w:val="00A533EE"/>
    <w:rsid w:val="00A53937"/>
    <w:rsid w:val="00A552FA"/>
    <w:rsid w:val="00A56492"/>
    <w:rsid w:val="00A57542"/>
    <w:rsid w:val="00A60396"/>
    <w:rsid w:val="00A60B11"/>
    <w:rsid w:val="00A61165"/>
    <w:rsid w:val="00A61489"/>
    <w:rsid w:val="00A6170D"/>
    <w:rsid w:val="00A61F3E"/>
    <w:rsid w:val="00A62501"/>
    <w:rsid w:val="00A6439E"/>
    <w:rsid w:val="00A64AF8"/>
    <w:rsid w:val="00A6540B"/>
    <w:rsid w:val="00A6555C"/>
    <w:rsid w:val="00A66662"/>
    <w:rsid w:val="00A66F47"/>
    <w:rsid w:val="00A67981"/>
    <w:rsid w:val="00A70BC6"/>
    <w:rsid w:val="00A70CE2"/>
    <w:rsid w:val="00A71C73"/>
    <w:rsid w:val="00A71FB0"/>
    <w:rsid w:val="00A737AE"/>
    <w:rsid w:val="00A73E52"/>
    <w:rsid w:val="00A744AB"/>
    <w:rsid w:val="00A74B91"/>
    <w:rsid w:val="00A751DC"/>
    <w:rsid w:val="00A752E1"/>
    <w:rsid w:val="00A757ED"/>
    <w:rsid w:val="00A77B64"/>
    <w:rsid w:val="00A808CA"/>
    <w:rsid w:val="00A81C56"/>
    <w:rsid w:val="00A83E4F"/>
    <w:rsid w:val="00A845B2"/>
    <w:rsid w:val="00A851CE"/>
    <w:rsid w:val="00A86131"/>
    <w:rsid w:val="00A869B4"/>
    <w:rsid w:val="00A8769E"/>
    <w:rsid w:val="00A907CF"/>
    <w:rsid w:val="00A909C4"/>
    <w:rsid w:val="00A91048"/>
    <w:rsid w:val="00A912D7"/>
    <w:rsid w:val="00A91ADF"/>
    <w:rsid w:val="00A91FD2"/>
    <w:rsid w:val="00A938E0"/>
    <w:rsid w:val="00A93BE7"/>
    <w:rsid w:val="00A94310"/>
    <w:rsid w:val="00A94872"/>
    <w:rsid w:val="00A95054"/>
    <w:rsid w:val="00A96700"/>
    <w:rsid w:val="00A96F9E"/>
    <w:rsid w:val="00A973B7"/>
    <w:rsid w:val="00AA0BB2"/>
    <w:rsid w:val="00AA1487"/>
    <w:rsid w:val="00AA25CB"/>
    <w:rsid w:val="00AA2E45"/>
    <w:rsid w:val="00AA3AC6"/>
    <w:rsid w:val="00AA3D26"/>
    <w:rsid w:val="00AA4F0A"/>
    <w:rsid w:val="00AA5247"/>
    <w:rsid w:val="00AA5C7A"/>
    <w:rsid w:val="00AA5F90"/>
    <w:rsid w:val="00AA66EC"/>
    <w:rsid w:val="00AA6AE6"/>
    <w:rsid w:val="00AA7C40"/>
    <w:rsid w:val="00AB03BA"/>
    <w:rsid w:val="00AB11CB"/>
    <w:rsid w:val="00AB140F"/>
    <w:rsid w:val="00AB2371"/>
    <w:rsid w:val="00AB2DB9"/>
    <w:rsid w:val="00AB39D2"/>
    <w:rsid w:val="00AB3BED"/>
    <w:rsid w:val="00AB4229"/>
    <w:rsid w:val="00AB5927"/>
    <w:rsid w:val="00AB5FEE"/>
    <w:rsid w:val="00AB6988"/>
    <w:rsid w:val="00AB70C3"/>
    <w:rsid w:val="00AB79B2"/>
    <w:rsid w:val="00AB7EB5"/>
    <w:rsid w:val="00AC0733"/>
    <w:rsid w:val="00AC1FDF"/>
    <w:rsid w:val="00AC2B86"/>
    <w:rsid w:val="00AC2DD5"/>
    <w:rsid w:val="00AC3291"/>
    <w:rsid w:val="00AC485B"/>
    <w:rsid w:val="00AC49F7"/>
    <w:rsid w:val="00AC513B"/>
    <w:rsid w:val="00AC626D"/>
    <w:rsid w:val="00AC6B40"/>
    <w:rsid w:val="00AC771E"/>
    <w:rsid w:val="00AC7AFE"/>
    <w:rsid w:val="00AD127A"/>
    <w:rsid w:val="00AD17F0"/>
    <w:rsid w:val="00AD1E81"/>
    <w:rsid w:val="00AD2539"/>
    <w:rsid w:val="00AD31F1"/>
    <w:rsid w:val="00AD3330"/>
    <w:rsid w:val="00AD38E7"/>
    <w:rsid w:val="00AD48E1"/>
    <w:rsid w:val="00AD5326"/>
    <w:rsid w:val="00AD5907"/>
    <w:rsid w:val="00AD5CED"/>
    <w:rsid w:val="00AD6F65"/>
    <w:rsid w:val="00AD72E0"/>
    <w:rsid w:val="00AD7B5C"/>
    <w:rsid w:val="00AD7B78"/>
    <w:rsid w:val="00AE0580"/>
    <w:rsid w:val="00AE36A8"/>
    <w:rsid w:val="00AE546E"/>
    <w:rsid w:val="00AE604B"/>
    <w:rsid w:val="00AE6C20"/>
    <w:rsid w:val="00AE7437"/>
    <w:rsid w:val="00AF0007"/>
    <w:rsid w:val="00AF03B0"/>
    <w:rsid w:val="00AF07E7"/>
    <w:rsid w:val="00AF0F2A"/>
    <w:rsid w:val="00AF17C1"/>
    <w:rsid w:val="00AF268F"/>
    <w:rsid w:val="00AF2716"/>
    <w:rsid w:val="00AF29CC"/>
    <w:rsid w:val="00AF3663"/>
    <w:rsid w:val="00AF3A3C"/>
    <w:rsid w:val="00AF4AAF"/>
    <w:rsid w:val="00AF5DDB"/>
    <w:rsid w:val="00AF64B6"/>
    <w:rsid w:val="00AF6C0F"/>
    <w:rsid w:val="00AF6DFF"/>
    <w:rsid w:val="00AF6E87"/>
    <w:rsid w:val="00AF6FD4"/>
    <w:rsid w:val="00AF705E"/>
    <w:rsid w:val="00AF74DF"/>
    <w:rsid w:val="00AF7A89"/>
    <w:rsid w:val="00B0015C"/>
    <w:rsid w:val="00B0030E"/>
    <w:rsid w:val="00B009F6"/>
    <w:rsid w:val="00B02C08"/>
    <w:rsid w:val="00B048BC"/>
    <w:rsid w:val="00B05319"/>
    <w:rsid w:val="00B06301"/>
    <w:rsid w:val="00B079F3"/>
    <w:rsid w:val="00B1155A"/>
    <w:rsid w:val="00B12507"/>
    <w:rsid w:val="00B13964"/>
    <w:rsid w:val="00B13E74"/>
    <w:rsid w:val="00B13F6B"/>
    <w:rsid w:val="00B14203"/>
    <w:rsid w:val="00B15622"/>
    <w:rsid w:val="00B1753D"/>
    <w:rsid w:val="00B20113"/>
    <w:rsid w:val="00B20394"/>
    <w:rsid w:val="00B2039C"/>
    <w:rsid w:val="00B21D11"/>
    <w:rsid w:val="00B233E4"/>
    <w:rsid w:val="00B23661"/>
    <w:rsid w:val="00B23FB7"/>
    <w:rsid w:val="00B240DD"/>
    <w:rsid w:val="00B243BE"/>
    <w:rsid w:val="00B24571"/>
    <w:rsid w:val="00B24795"/>
    <w:rsid w:val="00B24AFE"/>
    <w:rsid w:val="00B24CF1"/>
    <w:rsid w:val="00B25803"/>
    <w:rsid w:val="00B26ABD"/>
    <w:rsid w:val="00B26F05"/>
    <w:rsid w:val="00B2787D"/>
    <w:rsid w:val="00B27E69"/>
    <w:rsid w:val="00B322B1"/>
    <w:rsid w:val="00B32BF5"/>
    <w:rsid w:val="00B344B4"/>
    <w:rsid w:val="00B36058"/>
    <w:rsid w:val="00B37064"/>
    <w:rsid w:val="00B37C8B"/>
    <w:rsid w:val="00B4045C"/>
    <w:rsid w:val="00B41EE2"/>
    <w:rsid w:val="00B42418"/>
    <w:rsid w:val="00B42CE7"/>
    <w:rsid w:val="00B44B7F"/>
    <w:rsid w:val="00B460F9"/>
    <w:rsid w:val="00B46106"/>
    <w:rsid w:val="00B513D4"/>
    <w:rsid w:val="00B51F80"/>
    <w:rsid w:val="00B5452D"/>
    <w:rsid w:val="00B54A16"/>
    <w:rsid w:val="00B54F6F"/>
    <w:rsid w:val="00B55424"/>
    <w:rsid w:val="00B55836"/>
    <w:rsid w:val="00B56E8B"/>
    <w:rsid w:val="00B575AD"/>
    <w:rsid w:val="00B57647"/>
    <w:rsid w:val="00B57B3C"/>
    <w:rsid w:val="00B60898"/>
    <w:rsid w:val="00B60B95"/>
    <w:rsid w:val="00B60D46"/>
    <w:rsid w:val="00B60FB6"/>
    <w:rsid w:val="00B6188C"/>
    <w:rsid w:val="00B62C60"/>
    <w:rsid w:val="00B630E7"/>
    <w:rsid w:val="00B639EB"/>
    <w:rsid w:val="00B63B85"/>
    <w:rsid w:val="00B6428C"/>
    <w:rsid w:val="00B661F8"/>
    <w:rsid w:val="00B66339"/>
    <w:rsid w:val="00B66575"/>
    <w:rsid w:val="00B67D7E"/>
    <w:rsid w:val="00B70040"/>
    <w:rsid w:val="00B7112B"/>
    <w:rsid w:val="00B737E3"/>
    <w:rsid w:val="00B73BBC"/>
    <w:rsid w:val="00B74AA3"/>
    <w:rsid w:val="00B7634E"/>
    <w:rsid w:val="00B76745"/>
    <w:rsid w:val="00B7775F"/>
    <w:rsid w:val="00B77D82"/>
    <w:rsid w:val="00B80170"/>
    <w:rsid w:val="00B802E5"/>
    <w:rsid w:val="00B81554"/>
    <w:rsid w:val="00B8193D"/>
    <w:rsid w:val="00B81C64"/>
    <w:rsid w:val="00B82C42"/>
    <w:rsid w:val="00B836F2"/>
    <w:rsid w:val="00B83824"/>
    <w:rsid w:val="00B84393"/>
    <w:rsid w:val="00B84AA3"/>
    <w:rsid w:val="00B8567A"/>
    <w:rsid w:val="00B85AC2"/>
    <w:rsid w:val="00B85BB7"/>
    <w:rsid w:val="00B85FFF"/>
    <w:rsid w:val="00B906F5"/>
    <w:rsid w:val="00B90977"/>
    <w:rsid w:val="00B90C4B"/>
    <w:rsid w:val="00B90FA1"/>
    <w:rsid w:val="00B91C81"/>
    <w:rsid w:val="00B94001"/>
    <w:rsid w:val="00B94CC2"/>
    <w:rsid w:val="00B95522"/>
    <w:rsid w:val="00B95EC4"/>
    <w:rsid w:val="00B9615D"/>
    <w:rsid w:val="00B976A2"/>
    <w:rsid w:val="00B97909"/>
    <w:rsid w:val="00BA00A7"/>
    <w:rsid w:val="00BA08F2"/>
    <w:rsid w:val="00BA2140"/>
    <w:rsid w:val="00BA21EE"/>
    <w:rsid w:val="00BA29DD"/>
    <w:rsid w:val="00BA31BE"/>
    <w:rsid w:val="00BA3394"/>
    <w:rsid w:val="00BA36A4"/>
    <w:rsid w:val="00BA3950"/>
    <w:rsid w:val="00BA3B16"/>
    <w:rsid w:val="00BA41F1"/>
    <w:rsid w:val="00BA42B5"/>
    <w:rsid w:val="00BA505D"/>
    <w:rsid w:val="00BA5998"/>
    <w:rsid w:val="00BA59AF"/>
    <w:rsid w:val="00BA5E82"/>
    <w:rsid w:val="00BA62BB"/>
    <w:rsid w:val="00BA7FD4"/>
    <w:rsid w:val="00BB019F"/>
    <w:rsid w:val="00BB04A4"/>
    <w:rsid w:val="00BB144C"/>
    <w:rsid w:val="00BB14F8"/>
    <w:rsid w:val="00BB162F"/>
    <w:rsid w:val="00BB2A4D"/>
    <w:rsid w:val="00BB376B"/>
    <w:rsid w:val="00BB38C0"/>
    <w:rsid w:val="00BB47AD"/>
    <w:rsid w:val="00BB4D36"/>
    <w:rsid w:val="00BB4DD2"/>
    <w:rsid w:val="00BB4ED9"/>
    <w:rsid w:val="00BB616E"/>
    <w:rsid w:val="00BB6620"/>
    <w:rsid w:val="00BB72A8"/>
    <w:rsid w:val="00BB77BA"/>
    <w:rsid w:val="00BB788B"/>
    <w:rsid w:val="00BB7AE2"/>
    <w:rsid w:val="00BC1C90"/>
    <w:rsid w:val="00BC2826"/>
    <w:rsid w:val="00BC2E64"/>
    <w:rsid w:val="00BC300F"/>
    <w:rsid w:val="00BC3161"/>
    <w:rsid w:val="00BC3ED4"/>
    <w:rsid w:val="00BC4E0C"/>
    <w:rsid w:val="00BC5657"/>
    <w:rsid w:val="00BC6C24"/>
    <w:rsid w:val="00BC7D29"/>
    <w:rsid w:val="00BC7F92"/>
    <w:rsid w:val="00BD0E51"/>
    <w:rsid w:val="00BD10B1"/>
    <w:rsid w:val="00BD2C2D"/>
    <w:rsid w:val="00BD39E8"/>
    <w:rsid w:val="00BD3EB7"/>
    <w:rsid w:val="00BD6575"/>
    <w:rsid w:val="00BD70AD"/>
    <w:rsid w:val="00BD76BC"/>
    <w:rsid w:val="00BD7FB1"/>
    <w:rsid w:val="00BE004A"/>
    <w:rsid w:val="00BE0317"/>
    <w:rsid w:val="00BE10FB"/>
    <w:rsid w:val="00BE24B1"/>
    <w:rsid w:val="00BE3C72"/>
    <w:rsid w:val="00BE3D7E"/>
    <w:rsid w:val="00BE4513"/>
    <w:rsid w:val="00BE451D"/>
    <w:rsid w:val="00BE5D78"/>
    <w:rsid w:val="00BE710C"/>
    <w:rsid w:val="00BF03A4"/>
    <w:rsid w:val="00BF0A81"/>
    <w:rsid w:val="00BF1272"/>
    <w:rsid w:val="00BF20D7"/>
    <w:rsid w:val="00BF2BCA"/>
    <w:rsid w:val="00BF2D8D"/>
    <w:rsid w:val="00BF371A"/>
    <w:rsid w:val="00BF3E2A"/>
    <w:rsid w:val="00BF4410"/>
    <w:rsid w:val="00BF493F"/>
    <w:rsid w:val="00BF49AD"/>
    <w:rsid w:val="00BF4FCC"/>
    <w:rsid w:val="00BF54C2"/>
    <w:rsid w:val="00BF5F56"/>
    <w:rsid w:val="00C00690"/>
    <w:rsid w:val="00C01608"/>
    <w:rsid w:val="00C01826"/>
    <w:rsid w:val="00C02520"/>
    <w:rsid w:val="00C04A9C"/>
    <w:rsid w:val="00C05ADB"/>
    <w:rsid w:val="00C0610D"/>
    <w:rsid w:val="00C075E6"/>
    <w:rsid w:val="00C07F21"/>
    <w:rsid w:val="00C10B79"/>
    <w:rsid w:val="00C11336"/>
    <w:rsid w:val="00C125A0"/>
    <w:rsid w:val="00C1276D"/>
    <w:rsid w:val="00C127ED"/>
    <w:rsid w:val="00C13B82"/>
    <w:rsid w:val="00C14BF3"/>
    <w:rsid w:val="00C15768"/>
    <w:rsid w:val="00C236EB"/>
    <w:rsid w:val="00C23763"/>
    <w:rsid w:val="00C23DB3"/>
    <w:rsid w:val="00C24E79"/>
    <w:rsid w:val="00C256ED"/>
    <w:rsid w:val="00C2591A"/>
    <w:rsid w:val="00C307B5"/>
    <w:rsid w:val="00C30BD4"/>
    <w:rsid w:val="00C3395C"/>
    <w:rsid w:val="00C341F9"/>
    <w:rsid w:val="00C34E4E"/>
    <w:rsid w:val="00C35D12"/>
    <w:rsid w:val="00C36EB0"/>
    <w:rsid w:val="00C373C4"/>
    <w:rsid w:val="00C37787"/>
    <w:rsid w:val="00C40A49"/>
    <w:rsid w:val="00C40F47"/>
    <w:rsid w:val="00C41B67"/>
    <w:rsid w:val="00C420E4"/>
    <w:rsid w:val="00C42775"/>
    <w:rsid w:val="00C42825"/>
    <w:rsid w:val="00C45FE6"/>
    <w:rsid w:val="00C46462"/>
    <w:rsid w:val="00C475C3"/>
    <w:rsid w:val="00C47ACA"/>
    <w:rsid w:val="00C50C69"/>
    <w:rsid w:val="00C50E7F"/>
    <w:rsid w:val="00C50FFE"/>
    <w:rsid w:val="00C5157B"/>
    <w:rsid w:val="00C51704"/>
    <w:rsid w:val="00C52945"/>
    <w:rsid w:val="00C5360F"/>
    <w:rsid w:val="00C5368F"/>
    <w:rsid w:val="00C53AB8"/>
    <w:rsid w:val="00C53B40"/>
    <w:rsid w:val="00C5449C"/>
    <w:rsid w:val="00C553B8"/>
    <w:rsid w:val="00C55931"/>
    <w:rsid w:val="00C56B2B"/>
    <w:rsid w:val="00C56BBC"/>
    <w:rsid w:val="00C57629"/>
    <w:rsid w:val="00C62A7D"/>
    <w:rsid w:val="00C62E01"/>
    <w:rsid w:val="00C62EAA"/>
    <w:rsid w:val="00C6352A"/>
    <w:rsid w:val="00C654E1"/>
    <w:rsid w:val="00C65C4E"/>
    <w:rsid w:val="00C65EE7"/>
    <w:rsid w:val="00C67013"/>
    <w:rsid w:val="00C70E32"/>
    <w:rsid w:val="00C71654"/>
    <w:rsid w:val="00C729AC"/>
    <w:rsid w:val="00C738D5"/>
    <w:rsid w:val="00C744BD"/>
    <w:rsid w:val="00C74DD0"/>
    <w:rsid w:val="00C7507B"/>
    <w:rsid w:val="00C75081"/>
    <w:rsid w:val="00C75C0D"/>
    <w:rsid w:val="00C7636F"/>
    <w:rsid w:val="00C76DAD"/>
    <w:rsid w:val="00C77FEB"/>
    <w:rsid w:val="00C80B8D"/>
    <w:rsid w:val="00C81093"/>
    <w:rsid w:val="00C81736"/>
    <w:rsid w:val="00C818D4"/>
    <w:rsid w:val="00C824DD"/>
    <w:rsid w:val="00C831A5"/>
    <w:rsid w:val="00C83722"/>
    <w:rsid w:val="00C84BDF"/>
    <w:rsid w:val="00C867EA"/>
    <w:rsid w:val="00C87A48"/>
    <w:rsid w:val="00C90011"/>
    <w:rsid w:val="00C908DA"/>
    <w:rsid w:val="00C90930"/>
    <w:rsid w:val="00C90AFE"/>
    <w:rsid w:val="00C92561"/>
    <w:rsid w:val="00C93AB9"/>
    <w:rsid w:val="00C93BCF"/>
    <w:rsid w:val="00C93E9B"/>
    <w:rsid w:val="00C940B0"/>
    <w:rsid w:val="00C94511"/>
    <w:rsid w:val="00C94CFF"/>
    <w:rsid w:val="00C9566A"/>
    <w:rsid w:val="00C96386"/>
    <w:rsid w:val="00CA09DC"/>
    <w:rsid w:val="00CA13CF"/>
    <w:rsid w:val="00CA29FC"/>
    <w:rsid w:val="00CA3051"/>
    <w:rsid w:val="00CA39A2"/>
    <w:rsid w:val="00CA39E6"/>
    <w:rsid w:val="00CA5E6E"/>
    <w:rsid w:val="00CA6380"/>
    <w:rsid w:val="00CA68C1"/>
    <w:rsid w:val="00CA75C3"/>
    <w:rsid w:val="00CB0A11"/>
    <w:rsid w:val="00CB0B7D"/>
    <w:rsid w:val="00CB0FE3"/>
    <w:rsid w:val="00CB301A"/>
    <w:rsid w:val="00CB4488"/>
    <w:rsid w:val="00CB44AF"/>
    <w:rsid w:val="00CB4847"/>
    <w:rsid w:val="00CB52F2"/>
    <w:rsid w:val="00CB5BB8"/>
    <w:rsid w:val="00CB74BF"/>
    <w:rsid w:val="00CC01F5"/>
    <w:rsid w:val="00CC0957"/>
    <w:rsid w:val="00CC1E2C"/>
    <w:rsid w:val="00CC3E82"/>
    <w:rsid w:val="00CC53F3"/>
    <w:rsid w:val="00CC5775"/>
    <w:rsid w:val="00CC74D0"/>
    <w:rsid w:val="00CD0166"/>
    <w:rsid w:val="00CD0459"/>
    <w:rsid w:val="00CD088E"/>
    <w:rsid w:val="00CD0C7B"/>
    <w:rsid w:val="00CD1F56"/>
    <w:rsid w:val="00CD28A3"/>
    <w:rsid w:val="00CD46C8"/>
    <w:rsid w:val="00CD54EF"/>
    <w:rsid w:val="00CD7112"/>
    <w:rsid w:val="00CD72B4"/>
    <w:rsid w:val="00CD7F07"/>
    <w:rsid w:val="00CE1A27"/>
    <w:rsid w:val="00CE258F"/>
    <w:rsid w:val="00CE2AFA"/>
    <w:rsid w:val="00CE2BB4"/>
    <w:rsid w:val="00CE3800"/>
    <w:rsid w:val="00CE4654"/>
    <w:rsid w:val="00CE4FC3"/>
    <w:rsid w:val="00CE5672"/>
    <w:rsid w:val="00CE5877"/>
    <w:rsid w:val="00CE6E86"/>
    <w:rsid w:val="00CE72CB"/>
    <w:rsid w:val="00CE7764"/>
    <w:rsid w:val="00CE7A1E"/>
    <w:rsid w:val="00CE7B51"/>
    <w:rsid w:val="00CE7DBF"/>
    <w:rsid w:val="00CE7E5E"/>
    <w:rsid w:val="00CF021A"/>
    <w:rsid w:val="00CF0703"/>
    <w:rsid w:val="00CF2504"/>
    <w:rsid w:val="00CF31D0"/>
    <w:rsid w:val="00CF3CE5"/>
    <w:rsid w:val="00CF5216"/>
    <w:rsid w:val="00CF6333"/>
    <w:rsid w:val="00CF6794"/>
    <w:rsid w:val="00CF682B"/>
    <w:rsid w:val="00CF7CF5"/>
    <w:rsid w:val="00D0004D"/>
    <w:rsid w:val="00D01954"/>
    <w:rsid w:val="00D0200F"/>
    <w:rsid w:val="00D02329"/>
    <w:rsid w:val="00D02BAD"/>
    <w:rsid w:val="00D02D65"/>
    <w:rsid w:val="00D051C2"/>
    <w:rsid w:val="00D06DC7"/>
    <w:rsid w:val="00D06E38"/>
    <w:rsid w:val="00D106D1"/>
    <w:rsid w:val="00D107E4"/>
    <w:rsid w:val="00D109F4"/>
    <w:rsid w:val="00D112BA"/>
    <w:rsid w:val="00D1157D"/>
    <w:rsid w:val="00D118A8"/>
    <w:rsid w:val="00D123A1"/>
    <w:rsid w:val="00D12437"/>
    <w:rsid w:val="00D14881"/>
    <w:rsid w:val="00D157C5"/>
    <w:rsid w:val="00D16DB7"/>
    <w:rsid w:val="00D203EA"/>
    <w:rsid w:val="00D241D8"/>
    <w:rsid w:val="00D248F6"/>
    <w:rsid w:val="00D25F43"/>
    <w:rsid w:val="00D265AB"/>
    <w:rsid w:val="00D26CFC"/>
    <w:rsid w:val="00D26E9C"/>
    <w:rsid w:val="00D27232"/>
    <w:rsid w:val="00D27C12"/>
    <w:rsid w:val="00D27E50"/>
    <w:rsid w:val="00D31697"/>
    <w:rsid w:val="00D320B1"/>
    <w:rsid w:val="00D322A5"/>
    <w:rsid w:val="00D32905"/>
    <w:rsid w:val="00D3308D"/>
    <w:rsid w:val="00D33CFF"/>
    <w:rsid w:val="00D35946"/>
    <w:rsid w:val="00D35ACC"/>
    <w:rsid w:val="00D369F8"/>
    <w:rsid w:val="00D37391"/>
    <w:rsid w:val="00D37637"/>
    <w:rsid w:val="00D37929"/>
    <w:rsid w:val="00D37DCF"/>
    <w:rsid w:val="00D40B6C"/>
    <w:rsid w:val="00D40D35"/>
    <w:rsid w:val="00D40F6F"/>
    <w:rsid w:val="00D42369"/>
    <w:rsid w:val="00D4451A"/>
    <w:rsid w:val="00D45CCD"/>
    <w:rsid w:val="00D46013"/>
    <w:rsid w:val="00D460A1"/>
    <w:rsid w:val="00D46516"/>
    <w:rsid w:val="00D46ABC"/>
    <w:rsid w:val="00D504C8"/>
    <w:rsid w:val="00D507C9"/>
    <w:rsid w:val="00D50A8E"/>
    <w:rsid w:val="00D50AAB"/>
    <w:rsid w:val="00D50C69"/>
    <w:rsid w:val="00D5130E"/>
    <w:rsid w:val="00D513E8"/>
    <w:rsid w:val="00D51B0C"/>
    <w:rsid w:val="00D51DFA"/>
    <w:rsid w:val="00D522DC"/>
    <w:rsid w:val="00D53FDD"/>
    <w:rsid w:val="00D545D6"/>
    <w:rsid w:val="00D54979"/>
    <w:rsid w:val="00D55F76"/>
    <w:rsid w:val="00D56126"/>
    <w:rsid w:val="00D561C0"/>
    <w:rsid w:val="00D57DA9"/>
    <w:rsid w:val="00D60EA8"/>
    <w:rsid w:val="00D6192D"/>
    <w:rsid w:val="00D62D78"/>
    <w:rsid w:val="00D636E7"/>
    <w:rsid w:val="00D63E39"/>
    <w:rsid w:val="00D63EA0"/>
    <w:rsid w:val="00D63FAE"/>
    <w:rsid w:val="00D64232"/>
    <w:rsid w:val="00D6437E"/>
    <w:rsid w:val="00D652CA"/>
    <w:rsid w:val="00D65EEF"/>
    <w:rsid w:val="00D664EA"/>
    <w:rsid w:val="00D66C0D"/>
    <w:rsid w:val="00D7157B"/>
    <w:rsid w:val="00D71F1A"/>
    <w:rsid w:val="00D72FDF"/>
    <w:rsid w:val="00D737BA"/>
    <w:rsid w:val="00D747D4"/>
    <w:rsid w:val="00D7494C"/>
    <w:rsid w:val="00D749D1"/>
    <w:rsid w:val="00D751D1"/>
    <w:rsid w:val="00D75273"/>
    <w:rsid w:val="00D75C2D"/>
    <w:rsid w:val="00D763E3"/>
    <w:rsid w:val="00D77278"/>
    <w:rsid w:val="00D80164"/>
    <w:rsid w:val="00D80A12"/>
    <w:rsid w:val="00D80A2B"/>
    <w:rsid w:val="00D80BC8"/>
    <w:rsid w:val="00D80E5A"/>
    <w:rsid w:val="00D811A2"/>
    <w:rsid w:val="00D8192E"/>
    <w:rsid w:val="00D81A4D"/>
    <w:rsid w:val="00D82AC3"/>
    <w:rsid w:val="00D82CD1"/>
    <w:rsid w:val="00D82F97"/>
    <w:rsid w:val="00D83BAB"/>
    <w:rsid w:val="00D840E5"/>
    <w:rsid w:val="00D858A6"/>
    <w:rsid w:val="00D85B4B"/>
    <w:rsid w:val="00D86630"/>
    <w:rsid w:val="00D87114"/>
    <w:rsid w:val="00D90B46"/>
    <w:rsid w:val="00D92C4D"/>
    <w:rsid w:val="00D93B87"/>
    <w:rsid w:val="00D948FE"/>
    <w:rsid w:val="00D94A7C"/>
    <w:rsid w:val="00D97E4D"/>
    <w:rsid w:val="00DA0E37"/>
    <w:rsid w:val="00DA12C4"/>
    <w:rsid w:val="00DA1DA3"/>
    <w:rsid w:val="00DA21F7"/>
    <w:rsid w:val="00DA3433"/>
    <w:rsid w:val="00DA3D30"/>
    <w:rsid w:val="00DA3F87"/>
    <w:rsid w:val="00DA43AC"/>
    <w:rsid w:val="00DA4B47"/>
    <w:rsid w:val="00DA52D8"/>
    <w:rsid w:val="00DA5B48"/>
    <w:rsid w:val="00DA7F80"/>
    <w:rsid w:val="00DB0C92"/>
    <w:rsid w:val="00DB110F"/>
    <w:rsid w:val="00DB1F36"/>
    <w:rsid w:val="00DB368C"/>
    <w:rsid w:val="00DB3A9F"/>
    <w:rsid w:val="00DB3B4B"/>
    <w:rsid w:val="00DB4637"/>
    <w:rsid w:val="00DB5387"/>
    <w:rsid w:val="00DB5D57"/>
    <w:rsid w:val="00DB61C2"/>
    <w:rsid w:val="00DB6A48"/>
    <w:rsid w:val="00DB6B6F"/>
    <w:rsid w:val="00DB7A22"/>
    <w:rsid w:val="00DC00FD"/>
    <w:rsid w:val="00DC0678"/>
    <w:rsid w:val="00DC0A46"/>
    <w:rsid w:val="00DC3D55"/>
    <w:rsid w:val="00DC48F8"/>
    <w:rsid w:val="00DC4D41"/>
    <w:rsid w:val="00DC5C81"/>
    <w:rsid w:val="00DC5E5D"/>
    <w:rsid w:val="00DC5E93"/>
    <w:rsid w:val="00DC6E19"/>
    <w:rsid w:val="00DC7AE7"/>
    <w:rsid w:val="00DD03F6"/>
    <w:rsid w:val="00DD0BDF"/>
    <w:rsid w:val="00DD0F4F"/>
    <w:rsid w:val="00DD1EA9"/>
    <w:rsid w:val="00DD26BA"/>
    <w:rsid w:val="00DD45ED"/>
    <w:rsid w:val="00DD5D7F"/>
    <w:rsid w:val="00DD6FAC"/>
    <w:rsid w:val="00DE02E3"/>
    <w:rsid w:val="00DE22BD"/>
    <w:rsid w:val="00DE4B61"/>
    <w:rsid w:val="00DE4DB3"/>
    <w:rsid w:val="00DE56FD"/>
    <w:rsid w:val="00DE5790"/>
    <w:rsid w:val="00DE5A8E"/>
    <w:rsid w:val="00DE5FE1"/>
    <w:rsid w:val="00DE6877"/>
    <w:rsid w:val="00DE69B0"/>
    <w:rsid w:val="00DE69DE"/>
    <w:rsid w:val="00DE6C49"/>
    <w:rsid w:val="00DE6C79"/>
    <w:rsid w:val="00DE6CF0"/>
    <w:rsid w:val="00DE7471"/>
    <w:rsid w:val="00DE7927"/>
    <w:rsid w:val="00DF0127"/>
    <w:rsid w:val="00DF06BD"/>
    <w:rsid w:val="00DF10DA"/>
    <w:rsid w:val="00DF187D"/>
    <w:rsid w:val="00DF1CFA"/>
    <w:rsid w:val="00DF27CA"/>
    <w:rsid w:val="00DF305A"/>
    <w:rsid w:val="00DF456B"/>
    <w:rsid w:val="00DF4F5D"/>
    <w:rsid w:val="00DF5846"/>
    <w:rsid w:val="00DF5F35"/>
    <w:rsid w:val="00DF61B8"/>
    <w:rsid w:val="00DF654C"/>
    <w:rsid w:val="00DF756E"/>
    <w:rsid w:val="00E01325"/>
    <w:rsid w:val="00E01B7B"/>
    <w:rsid w:val="00E01F4F"/>
    <w:rsid w:val="00E02994"/>
    <w:rsid w:val="00E043A5"/>
    <w:rsid w:val="00E04753"/>
    <w:rsid w:val="00E04E61"/>
    <w:rsid w:val="00E04E9D"/>
    <w:rsid w:val="00E05565"/>
    <w:rsid w:val="00E055C4"/>
    <w:rsid w:val="00E0598C"/>
    <w:rsid w:val="00E0678B"/>
    <w:rsid w:val="00E068D3"/>
    <w:rsid w:val="00E06DFD"/>
    <w:rsid w:val="00E10DB9"/>
    <w:rsid w:val="00E11248"/>
    <w:rsid w:val="00E121C3"/>
    <w:rsid w:val="00E1295E"/>
    <w:rsid w:val="00E13EDF"/>
    <w:rsid w:val="00E13F85"/>
    <w:rsid w:val="00E13FDA"/>
    <w:rsid w:val="00E150F5"/>
    <w:rsid w:val="00E15119"/>
    <w:rsid w:val="00E15379"/>
    <w:rsid w:val="00E15E3C"/>
    <w:rsid w:val="00E16AD6"/>
    <w:rsid w:val="00E16E66"/>
    <w:rsid w:val="00E17810"/>
    <w:rsid w:val="00E1795A"/>
    <w:rsid w:val="00E17CB7"/>
    <w:rsid w:val="00E17FC7"/>
    <w:rsid w:val="00E200F6"/>
    <w:rsid w:val="00E209F8"/>
    <w:rsid w:val="00E215A1"/>
    <w:rsid w:val="00E2222F"/>
    <w:rsid w:val="00E2281D"/>
    <w:rsid w:val="00E23464"/>
    <w:rsid w:val="00E23B0A"/>
    <w:rsid w:val="00E23C65"/>
    <w:rsid w:val="00E23E33"/>
    <w:rsid w:val="00E243C7"/>
    <w:rsid w:val="00E24CEA"/>
    <w:rsid w:val="00E250CE"/>
    <w:rsid w:val="00E26159"/>
    <w:rsid w:val="00E27E7B"/>
    <w:rsid w:val="00E3233A"/>
    <w:rsid w:val="00E3304B"/>
    <w:rsid w:val="00E33074"/>
    <w:rsid w:val="00E3480C"/>
    <w:rsid w:val="00E34FDA"/>
    <w:rsid w:val="00E35C8B"/>
    <w:rsid w:val="00E35F12"/>
    <w:rsid w:val="00E3689F"/>
    <w:rsid w:val="00E36A7B"/>
    <w:rsid w:val="00E37868"/>
    <w:rsid w:val="00E37F96"/>
    <w:rsid w:val="00E401A0"/>
    <w:rsid w:val="00E40CE8"/>
    <w:rsid w:val="00E41DB4"/>
    <w:rsid w:val="00E42670"/>
    <w:rsid w:val="00E43077"/>
    <w:rsid w:val="00E438C7"/>
    <w:rsid w:val="00E438DA"/>
    <w:rsid w:val="00E43FB7"/>
    <w:rsid w:val="00E4438D"/>
    <w:rsid w:val="00E44AA6"/>
    <w:rsid w:val="00E4526B"/>
    <w:rsid w:val="00E46716"/>
    <w:rsid w:val="00E46D4A"/>
    <w:rsid w:val="00E470B7"/>
    <w:rsid w:val="00E47980"/>
    <w:rsid w:val="00E47D11"/>
    <w:rsid w:val="00E47DAD"/>
    <w:rsid w:val="00E51422"/>
    <w:rsid w:val="00E51CBA"/>
    <w:rsid w:val="00E52831"/>
    <w:rsid w:val="00E53365"/>
    <w:rsid w:val="00E533BD"/>
    <w:rsid w:val="00E53599"/>
    <w:rsid w:val="00E53CB7"/>
    <w:rsid w:val="00E548AC"/>
    <w:rsid w:val="00E55481"/>
    <w:rsid w:val="00E56113"/>
    <w:rsid w:val="00E56A24"/>
    <w:rsid w:val="00E56AA0"/>
    <w:rsid w:val="00E56DBF"/>
    <w:rsid w:val="00E56F7E"/>
    <w:rsid w:val="00E570FB"/>
    <w:rsid w:val="00E60E32"/>
    <w:rsid w:val="00E61650"/>
    <w:rsid w:val="00E629C1"/>
    <w:rsid w:val="00E62A7E"/>
    <w:rsid w:val="00E6383C"/>
    <w:rsid w:val="00E63C54"/>
    <w:rsid w:val="00E63D31"/>
    <w:rsid w:val="00E64023"/>
    <w:rsid w:val="00E6407C"/>
    <w:rsid w:val="00E64BA2"/>
    <w:rsid w:val="00E64F27"/>
    <w:rsid w:val="00E65A08"/>
    <w:rsid w:val="00E6638A"/>
    <w:rsid w:val="00E6696B"/>
    <w:rsid w:val="00E677A3"/>
    <w:rsid w:val="00E67F3D"/>
    <w:rsid w:val="00E70128"/>
    <w:rsid w:val="00E708FC"/>
    <w:rsid w:val="00E70C40"/>
    <w:rsid w:val="00E70DDE"/>
    <w:rsid w:val="00E71CC4"/>
    <w:rsid w:val="00E73663"/>
    <w:rsid w:val="00E73689"/>
    <w:rsid w:val="00E73A8E"/>
    <w:rsid w:val="00E741DC"/>
    <w:rsid w:val="00E7434C"/>
    <w:rsid w:val="00E74B13"/>
    <w:rsid w:val="00E75355"/>
    <w:rsid w:val="00E76A29"/>
    <w:rsid w:val="00E76FF0"/>
    <w:rsid w:val="00E80055"/>
    <w:rsid w:val="00E8074D"/>
    <w:rsid w:val="00E80B8A"/>
    <w:rsid w:val="00E815AB"/>
    <w:rsid w:val="00E81A13"/>
    <w:rsid w:val="00E83837"/>
    <w:rsid w:val="00E90EE5"/>
    <w:rsid w:val="00E91037"/>
    <w:rsid w:val="00E912A4"/>
    <w:rsid w:val="00E913CD"/>
    <w:rsid w:val="00E91965"/>
    <w:rsid w:val="00E91AD6"/>
    <w:rsid w:val="00E91E60"/>
    <w:rsid w:val="00E93B1C"/>
    <w:rsid w:val="00E9417E"/>
    <w:rsid w:val="00E94487"/>
    <w:rsid w:val="00E94E78"/>
    <w:rsid w:val="00E953ED"/>
    <w:rsid w:val="00E9551E"/>
    <w:rsid w:val="00E9641C"/>
    <w:rsid w:val="00E96C29"/>
    <w:rsid w:val="00E96FC4"/>
    <w:rsid w:val="00E97662"/>
    <w:rsid w:val="00E97C19"/>
    <w:rsid w:val="00EA081D"/>
    <w:rsid w:val="00EA0D55"/>
    <w:rsid w:val="00EA0F1F"/>
    <w:rsid w:val="00EA2B5F"/>
    <w:rsid w:val="00EA3692"/>
    <w:rsid w:val="00EA5586"/>
    <w:rsid w:val="00EA6791"/>
    <w:rsid w:val="00EA6EE8"/>
    <w:rsid w:val="00EA7166"/>
    <w:rsid w:val="00EA7A56"/>
    <w:rsid w:val="00EA7B4E"/>
    <w:rsid w:val="00EB0371"/>
    <w:rsid w:val="00EB2402"/>
    <w:rsid w:val="00EB2B7B"/>
    <w:rsid w:val="00EB50A4"/>
    <w:rsid w:val="00EB57CB"/>
    <w:rsid w:val="00EB5D7B"/>
    <w:rsid w:val="00EB61AF"/>
    <w:rsid w:val="00EB6A5C"/>
    <w:rsid w:val="00EC0155"/>
    <w:rsid w:val="00EC01C1"/>
    <w:rsid w:val="00EC023D"/>
    <w:rsid w:val="00EC093D"/>
    <w:rsid w:val="00EC0C86"/>
    <w:rsid w:val="00EC1B37"/>
    <w:rsid w:val="00EC2DCB"/>
    <w:rsid w:val="00EC3095"/>
    <w:rsid w:val="00EC3CEB"/>
    <w:rsid w:val="00EC6095"/>
    <w:rsid w:val="00ED1744"/>
    <w:rsid w:val="00ED223E"/>
    <w:rsid w:val="00ED33EF"/>
    <w:rsid w:val="00ED516A"/>
    <w:rsid w:val="00ED6CA9"/>
    <w:rsid w:val="00ED72E5"/>
    <w:rsid w:val="00ED7B7B"/>
    <w:rsid w:val="00ED7E47"/>
    <w:rsid w:val="00EE07B8"/>
    <w:rsid w:val="00EE350E"/>
    <w:rsid w:val="00EE6B6B"/>
    <w:rsid w:val="00EE7608"/>
    <w:rsid w:val="00EF068B"/>
    <w:rsid w:val="00EF07EF"/>
    <w:rsid w:val="00EF0E34"/>
    <w:rsid w:val="00EF0F1F"/>
    <w:rsid w:val="00EF23D3"/>
    <w:rsid w:val="00EF25A7"/>
    <w:rsid w:val="00EF3583"/>
    <w:rsid w:val="00EF3950"/>
    <w:rsid w:val="00EF4533"/>
    <w:rsid w:val="00EF45D1"/>
    <w:rsid w:val="00EF45DE"/>
    <w:rsid w:val="00EF50D6"/>
    <w:rsid w:val="00EF59B2"/>
    <w:rsid w:val="00EF5E10"/>
    <w:rsid w:val="00EF6A84"/>
    <w:rsid w:val="00EF7919"/>
    <w:rsid w:val="00F0007C"/>
    <w:rsid w:val="00F01ADC"/>
    <w:rsid w:val="00F0241E"/>
    <w:rsid w:val="00F02EE8"/>
    <w:rsid w:val="00F0313E"/>
    <w:rsid w:val="00F03781"/>
    <w:rsid w:val="00F04BD5"/>
    <w:rsid w:val="00F04C1A"/>
    <w:rsid w:val="00F06324"/>
    <w:rsid w:val="00F07824"/>
    <w:rsid w:val="00F10006"/>
    <w:rsid w:val="00F105D4"/>
    <w:rsid w:val="00F10B22"/>
    <w:rsid w:val="00F10EAE"/>
    <w:rsid w:val="00F112FB"/>
    <w:rsid w:val="00F118EB"/>
    <w:rsid w:val="00F13355"/>
    <w:rsid w:val="00F13670"/>
    <w:rsid w:val="00F144CC"/>
    <w:rsid w:val="00F15E7E"/>
    <w:rsid w:val="00F163DF"/>
    <w:rsid w:val="00F16E68"/>
    <w:rsid w:val="00F17221"/>
    <w:rsid w:val="00F1764B"/>
    <w:rsid w:val="00F17C87"/>
    <w:rsid w:val="00F2000F"/>
    <w:rsid w:val="00F210DE"/>
    <w:rsid w:val="00F21333"/>
    <w:rsid w:val="00F2276C"/>
    <w:rsid w:val="00F22A7F"/>
    <w:rsid w:val="00F23DA9"/>
    <w:rsid w:val="00F255BA"/>
    <w:rsid w:val="00F257D1"/>
    <w:rsid w:val="00F25A18"/>
    <w:rsid w:val="00F26118"/>
    <w:rsid w:val="00F26E53"/>
    <w:rsid w:val="00F2714D"/>
    <w:rsid w:val="00F27362"/>
    <w:rsid w:val="00F278E4"/>
    <w:rsid w:val="00F279F9"/>
    <w:rsid w:val="00F306C1"/>
    <w:rsid w:val="00F30A8F"/>
    <w:rsid w:val="00F316FE"/>
    <w:rsid w:val="00F33070"/>
    <w:rsid w:val="00F33650"/>
    <w:rsid w:val="00F358E8"/>
    <w:rsid w:val="00F37CD6"/>
    <w:rsid w:val="00F409ED"/>
    <w:rsid w:val="00F40BED"/>
    <w:rsid w:val="00F4141B"/>
    <w:rsid w:val="00F4164C"/>
    <w:rsid w:val="00F42646"/>
    <w:rsid w:val="00F42B9F"/>
    <w:rsid w:val="00F43BE0"/>
    <w:rsid w:val="00F43C1D"/>
    <w:rsid w:val="00F44737"/>
    <w:rsid w:val="00F449CB"/>
    <w:rsid w:val="00F47EC1"/>
    <w:rsid w:val="00F50E79"/>
    <w:rsid w:val="00F510C1"/>
    <w:rsid w:val="00F516E8"/>
    <w:rsid w:val="00F51B43"/>
    <w:rsid w:val="00F523C8"/>
    <w:rsid w:val="00F53DBA"/>
    <w:rsid w:val="00F53E79"/>
    <w:rsid w:val="00F54FEE"/>
    <w:rsid w:val="00F552B6"/>
    <w:rsid w:val="00F5697F"/>
    <w:rsid w:val="00F56A66"/>
    <w:rsid w:val="00F56ED5"/>
    <w:rsid w:val="00F5724A"/>
    <w:rsid w:val="00F572E4"/>
    <w:rsid w:val="00F60291"/>
    <w:rsid w:val="00F60976"/>
    <w:rsid w:val="00F62AA8"/>
    <w:rsid w:val="00F638E8"/>
    <w:rsid w:val="00F641B0"/>
    <w:rsid w:val="00F64FCF"/>
    <w:rsid w:val="00F654EC"/>
    <w:rsid w:val="00F74A45"/>
    <w:rsid w:val="00F74E99"/>
    <w:rsid w:val="00F750BB"/>
    <w:rsid w:val="00F755BE"/>
    <w:rsid w:val="00F77E37"/>
    <w:rsid w:val="00F80A1E"/>
    <w:rsid w:val="00F80D60"/>
    <w:rsid w:val="00F81617"/>
    <w:rsid w:val="00F8174A"/>
    <w:rsid w:val="00F821E5"/>
    <w:rsid w:val="00F8280C"/>
    <w:rsid w:val="00F82B1E"/>
    <w:rsid w:val="00F8383D"/>
    <w:rsid w:val="00F843AE"/>
    <w:rsid w:val="00F8499B"/>
    <w:rsid w:val="00F84D12"/>
    <w:rsid w:val="00F8506C"/>
    <w:rsid w:val="00F85A5C"/>
    <w:rsid w:val="00F85B1C"/>
    <w:rsid w:val="00F865C3"/>
    <w:rsid w:val="00F8706F"/>
    <w:rsid w:val="00F87511"/>
    <w:rsid w:val="00F90BA4"/>
    <w:rsid w:val="00F91194"/>
    <w:rsid w:val="00F9208B"/>
    <w:rsid w:val="00F938AD"/>
    <w:rsid w:val="00F93F45"/>
    <w:rsid w:val="00F94592"/>
    <w:rsid w:val="00F94DEC"/>
    <w:rsid w:val="00F955A9"/>
    <w:rsid w:val="00F95855"/>
    <w:rsid w:val="00F963BB"/>
    <w:rsid w:val="00F96D13"/>
    <w:rsid w:val="00F9703F"/>
    <w:rsid w:val="00FA08E3"/>
    <w:rsid w:val="00FA0F49"/>
    <w:rsid w:val="00FA1632"/>
    <w:rsid w:val="00FA2984"/>
    <w:rsid w:val="00FA613A"/>
    <w:rsid w:val="00FA6B4D"/>
    <w:rsid w:val="00FA6FEB"/>
    <w:rsid w:val="00FA78CB"/>
    <w:rsid w:val="00FA7CEF"/>
    <w:rsid w:val="00FB0738"/>
    <w:rsid w:val="00FB0876"/>
    <w:rsid w:val="00FB0FC7"/>
    <w:rsid w:val="00FB110F"/>
    <w:rsid w:val="00FB19B1"/>
    <w:rsid w:val="00FB1B59"/>
    <w:rsid w:val="00FB39A7"/>
    <w:rsid w:val="00FB5805"/>
    <w:rsid w:val="00FB6095"/>
    <w:rsid w:val="00FB755D"/>
    <w:rsid w:val="00FB7CB7"/>
    <w:rsid w:val="00FB7F49"/>
    <w:rsid w:val="00FC1D4B"/>
    <w:rsid w:val="00FC1E9E"/>
    <w:rsid w:val="00FC257C"/>
    <w:rsid w:val="00FC26A6"/>
    <w:rsid w:val="00FC32F0"/>
    <w:rsid w:val="00FC4402"/>
    <w:rsid w:val="00FC4E98"/>
    <w:rsid w:val="00FC4EEA"/>
    <w:rsid w:val="00FC5C8F"/>
    <w:rsid w:val="00FC6807"/>
    <w:rsid w:val="00FC7766"/>
    <w:rsid w:val="00FD12CE"/>
    <w:rsid w:val="00FD14E7"/>
    <w:rsid w:val="00FD21F4"/>
    <w:rsid w:val="00FD348A"/>
    <w:rsid w:val="00FD5BAC"/>
    <w:rsid w:val="00FD6E60"/>
    <w:rsid w:val="00FD75AD"/>
    <w:rsid w:val="00FE0B68"/>
    <w:rsid w:val="00FE0BA0"/>
    <w:rsid w:val="00FE0EAC"/>
    <w:rsid w:val="00FE1550"/>
    <w:rsid w:val="00FE29A8"/>
    <w:rsid w:val="00FE3838"/>
    <w:rsid w:val="00FE3A88"/>
    <w:rsid w:val="00FE3DA4"/>
    <w:rsid w:val="00FE4838"/>
    <w:rsid w:val="00FE528B"/>
    <w:rsid w:val="00FE5E99"/>
    <w:rsid w:val="00FE6077"/>
    <w:rsid w:val="00FE6F10"/>
    <w:rsid w:val="00FE71D5"/>
    <w:rsid w:val="00FF1B47"/>
    <w:rsid w:val="00FF1D37"/>
    <w:rsid w:val="00FF218F"/>
    <w:rsid w:val="00FF272E"/>
    <w:rsid w:val="00FF31E9"/>
    <w:rsid w:val="00FF38D8"/>
    <w:rsid w:val="00FF40BA"/>
    <w:rsid w:val="00FF5C52"/>
    <w:rsid w:val="00FF6311"/>
    <w:rsid w:val="00FF6DF2"/>
    <w:rsid w:val="00FF768C"/>
    <w:rsid w:val="00FF7B9C"/>
    <w:rsid w:val="01041CB3"/>
    <w:rsid w:val="013673F2"/>
    <w:rsid w:val="013D0771"/>
    <w:rsid w:val="014D61EE"/>
    <w:rsid w:val="01560EC7"/>
    <w:rsid w:val="0174101E"/>
    <w:rsid w:val="01EE5817"/>
    <w:rsid w:val="01F70926"/>
    <w:rsid w:val="02083952"/>
    <w:rsid w:val="021F0AAE"/>
    <w:rsid w:val="025A04CC"/>
    <w:rsid w:val="02727976"/>
    <w:rsid w:val="02985DC6"/>
    <w:rsid w:val="02ED6C57"/>
    <w:rsid w:val="03092DC9"/>
    <w:rsid w:val="031E774B"/>
    <w:rsid w:val="03267DB3"/>
    <w:rsid w:val="034001A4"/>
    <w:rsid w:val="03992AA1"/>
    <w:rsid w:val="03AD5339"/>
    <w:rsid w:val="03C420DD"/>
    <w:rsid w:val="03DF1CD7"/>
    <w:rsid w:val="03E74598"/>
    <w:rsid w:val="044324C9"/>
    <w:rsid w:val="04487904"/>
    <w:rsid w:val="04646DAC"/>
    <w:rsid w:val="049F1D72"/>
    <w:rsid w:val="04A165FC"/>
    <w:rsid w:val="04A558FE"/>
    <w:rsid w:val="04D1485C"/>
    <w:rsid w:val="04F64962"/>
    <w:rsid w:val="052B078E"/>
    <w:rsid w:val="052E0A2D"/>
    <w:rsid w:val="05845690"/>
    <w:rsid w:val="05A21435"/>
    <w:rsid w:val="05A67E65"/>
    <w:rsid w:val="05EB6444"/>
    <w:rsid w:val="06036E24"/>
    <w:rsid w:val="06077C38"/>
    <w:rsid w:val="06493297"/>
    <w:rsid w:val="065F2EC2"/>
    <w:rsid w:val="066F6E3E"/>
    <w:rsid w:val="067B5DA4"/>
    <w:rsid w:val="06BC06C0"/>
    <w:rsid w:val="06EC74DC"/>
    <w:rsid w:val="074669AB"/>
    <w:rsid w:val="07521C51"/>
    <w:rsid w:val="075C26DC"/>
    <w:rsid w:val="077F4380"/>
    <w:rsid w:val="077F4E68"/>
    <w:rsid w:val="07AC5083"/>
    <w:rsid w:val="07F7348F"/>
    <w:rsid w:val="08036B5F"/>
    <w:rsid w:val="08201746"/>
    <w:rsid w:val="08365F6A"/>
    <w:rsid w:val="084B3880"/>
    <w:rsid w:val="08830D0D"/>
    <w:rsid w:val="089F4D89"/>
    <w:rsid w:val="08B41D79"/>
    <w:rsid w:val="08E93A72"/>
    <w:rsid w:val="090B67BD"/>
    <w:rsid w:val="0926408B"/>
    <w:rsid w:val="093B4264"/>
    <w:rsid w:val="093D17C2"/>
    <w:rsid w:val="097575D7"/>
    <w:rsid w:val="09816D5D"/>
    <w:rsid w:val="098774A8"/>
    <w:rsid w:val="09B1266B"/>
    <w:rsid w:val="09E40CB6"/>
    <w:rsid w:val="09ED56B6"/>
    <w:rsid w:val="0A164C5E"/>
    <w:rsid w:val="0A2773F0"/>
    <w:rsid w:val="0A577A58"/>
    <w:rsid w:val="0A835F09"/>
    <w:rsid w:val="0A883BCF"/>
    <w:rsid w:val="0AC2129E"/>
    <w:rsid w:val="0ACC73ED"/>
    <w:rsid w:val="0B214FD8"/>
    <w:rsid w:val="0B2E321C"/>
    <w:rsid w:val="0B463F08"/>
    <w:rsid w:val="0B6C2239"/>
    <w:rsid w:val="0B762714"/>
    <w:rsid w:val="0BBF3939"/>
    <w:rsid w:val="0BD51F36"/>
    <w:rsid w:val="0BE44154"/>
    <w:rsid w:val="0BF0408B"/>
    <w:rsid w:val="0C1C16A1"/>
    <w:rsid w:val="0C2E416A"/>
    <w:rsid w:val="0C35640D"/>
    <w:rsid w:val="0C424995"/>
    <w:rsid w:val="0C56100B"/>
    <w:rsid w:val="0C83633D"/>
    <w:rsid w:val="0CA15E51"/>
    <w:rsid w:val="0CB334C1"/>
    <w:rsid w:val="0CC96252"/>
    <w:rsid w:val="0CE64D78"/>
    <w:rsid w:val="0CFE79D1"/>
    <w:rsid w:val="0D0D3F36"/>
    <w:rsid w:val="0D2F7FDA"/>
    <w:rsid w:val="0D405E4A"/>
    <w:rsid w:val="0D454083"/>
    <w:rsid w:val="0D4970D5"/>
    <w:rsid w:val="0D9033B9"/>
    <w:rsid w:val="0D9350F6"/>
    <w:rsid w:val="0D960D39"/>
    <w:rsid w:val="0DC82330"/>
    <w:rsid w:val="0E025191"/>
    <w:rsid w:val="0E105C74"/>
    <w:rsid w:val="0E1D3B33"/>
    <w:rsid w:val="0E825123"/>
    <w:rsid w:val="0ECA23C8"/>
    <w:rsid w:val="0EE10AB7"/>
    <w:rsid w:val="0F6771AD"/>
    <w:rsid w:val="0F6E6F16"/>
    <w:rsid w:val="0FBF034B"/>
    <w:rsid w:val="0FCB3E38"/>
    <w:rsid w:val="0FFD2C50"/>
    <w:rsid w:val="100E5AB8"/>
    <w:rsid w:val="10390E8F"/>
    <w:rsid w:val="104C1D49"/>
    <w:rsid w:val="10843EEE"/>
    <w:rsid w:val="109200B3"/>
    <w:rsid w:val="10BD2F68"/>
    <w:rsid w:val="10C135C7"/>
    <w:rsid w:val="10D2655B"/>
    <w:rsid w:val="11462975"/>
    <w:rsid w:val="11A46AD7"/>
    <w:rsid w:val="11AE7785"/>
    <w:rsid w:val="11C948AB"/>
    <w:rsid w:val="11D62845"/>
    <w:rsid w:val="11F66F3C"/>
    <w:rsid w:val="120A759E"/>
    <w:rsid w:val="1225270A"/>
    <w:rsid w:val="125707F7"/>
    <w:rsid w:val="128451E3"/>
    <w:rsid w:val="128820DE"/>
    <w:rsid w:val="129E6898"/>
    <w:rsid w:val="12AE5E46"/>
    <w:rsid w:val="131B2A2B"/>
    <w:rsid w:val="135879FF"/>
    <w:rsid w:val="13677BA4"/>
    <w:rsid w:val="13697C65"/>
    <w:rsid w:val="137E4354"/>
    <w:rsid w:val="13974662"/>
    <w:rsid w:val="13A1750B"/>
    <w:rsid w:val="13B76CA9"/>
    <w:rsid w:val="13BF1C1B"/>
    <w:rsid w:val="13E814D9"/>
    <w:rsid w:val="1424628C"/>
    <w:rsid w:val="14283E2E"/>
    <w:rsid w:val="14355B74"/>
    <w:rsid w:val="1451028B"/>
    <w:rsid w:val="14626B78"/>
    <w:rsid w:val="14637FE8"/>
    <w:rsid w:val="146A6DDF"/>
    <w:rsid w:val="14721A57"/>
    <w:rsid w:val="1472446C"/>
    <w:rsid w:val="14AB6D03"/>
    <w:rsid w:val="14BA61C0"/>
    <w:rsid w:val="14C353E0"/>
    <w:rsid w:val="153D60E1"/>
    <w:rsid w:val="154D1755"/>
    <w:rsid w:val="159851F9"/>
    <w:rsid w:val="15A31298"/>
    <w:rsid w:val="15DC4AEB"/>
    <w:rsid w:val="16205B47"/>
    <w:rsid w:val="162A2718"/>
    <w:rsid w:val="16481525"/>
    <w:rsid w:val="16746595"/>
    <w:rsid w:val="169306AF"/>
    <w:rsid w:val="16951708"/>
    <w:rsid w:val="169B700C"/>
    <w:rsid w:val="1713138D"/>
    <w:rsid w:val="1724063E"/>
    <w:rsid w:val="17275D19"/>
    <w:rsid w:val="176341E4"/>
    <w:rsid w:val="176C5E4C"/>
    <w:rsid w:val="17CD7EF4"/>
    <w:rsid w:val="182D38DD"/>
    <w:rsid w:val="18961CD2"/>
    <w:rsid w:val="18C84AE0"/>
    <w:rsid w:val="19910D84"/>
    <w:rsid w:val="19A3476E"/>
    <w:rsid w:val="19AF0886"/>
    <w:rsid w:val="19BE353C"/>
    <w:rsid w:val="19D17680"/>
    <w:rsid w:val="19F90264"/>
    <w:rsid w:val="1A18765B"/>
    <w:rsid w:val="1A1E128D"/>
    <w:rsid w:val="1A290204"/>
    <w:rsid w:val="1A6F2B2E"/>
    <w:rsid w:val="1A7003C8"/>
    <w:rsid w:val="1A7307FE"/>
    <w:rsid w:val="1A7E7471"/>
    <w:rsid w:val="1AD00F92"/>
    <w:rsid w:val="1AE02563"/>
    <w:rsid w:val="1AEC07D5"/>
    <w:rsid w:val="1B525F6D"/>
    <w:rsid w:val="1B8E1E29"/>
    <w:rsid w:val="1BA70757"/>
    <w:rsid w:val="1BCF2C3F"/>
    <w:rsid w:val="1BDF1A81"/>
    <w:rsid w:val="1C4A7F20"/>
    <w:rsid w:val="1C7E42D8"/>
    <w:rsid w:val="1C84693E"/>
    <w:rsid w:val="1CB10335"/>
    <w:rsid w:val="1CD62758"/>
    <w:rsid w:val="1CD74072"/>
    <w:rsid w:val="1CD77BDA"/>
    <w:rsid w:val="1D0643A1"/>
    <w:rsid w:val="1D2C67A0"/>
    <w:rsid w:val="1D32130A"/>
    <w:rsid w:val="1D877440"/>
    <w:rsid w:val="1DC515DB"/>
    <w:rsid w:val="1DDA22C2"/>
    <w:rsid w:val="1E300EB0"/>
    <w:rsid w:val="1E481E02"/>
    <w:rsid w:val="1E60414C"/>
    <w:rsid w:val="1E780646"/>
    <w:rsid w:val="1E8D5B19"/>
    <w:rsid w:val="1E93254D"/>
    <w:rsid w:val="1ECA4E3F"/>
    <w:rsid w:val="1F82362F"/>
    <w:rsid w:val="1F8A342F"/>
    <w:rsid w:val="1F8B1F6F"/>
    <w:rsid w:val="1FB17B88"/>
    <w:rsid w:val="1FD469C9"/>
    <w:rsid w:val="20173898"/>
    <w:rsid w:val="204F04A2"/>
    <w:rsid w:val="20506303"/>
    <w:rsid w:val="207B1AF6"/>
    <w:rsid w:val="20A470C0"/>
    <w:rsid w:val="216A48C4"/>
    <w:rsid w:val="21AB2F74"/>
    <w:rsid w:val="21BC6298"/>
    <w:rsid w:val="21BF4A4F"/>
    <w:rsid w:val="21C27971"/>
    <w:rsid w:val="22211243"/>
    <w:rsid w:val="22495E52"/>
    <w:rsid w:val="22670D95"/>
    <w:rsid w:val="227652D1"/>
    <w:rsid w:val="22A14FD4"/>
    <w:rsid w:val="22CD0921"/>
    <w:rsid w:val="22D4306E"/>
    <w:rsid w:val="22E37AB0"/>
    <w:rsid w:val="23095500"/>
    <w:rsid w:val="23151720"/>
    <w:rsid w:val="232B598B"/>
    <w:rsid w:val="233954CC"/>
    <w:rsid w:val="23434F34"/>
    <w:rsid w:val="235D4ACF"/>
    <w:rsid w:val="23BA4A6C"/>
    <w:rsid w:val="23BB4731"/>
    <w:rsid w:val="240F0383"/>
    <w:rsid w:val="24166655"/>
    <w:rsid w:val="244220E8"/>
    <w:rsid w:val="247D039F"/>
    <w:rsid w:val="24887EDA"/>
    <w:rsid w:val="24CD6E59"/>
    <w:rsid w:val="24ED0B1A"/>
    <w:rsid w:val="2515183F"/>
    <w:rsid w:val="25155A27"/>
    <w:rsid w:val="25786093"/>
    <w:rsid w:val="25C8136E"/>
    <w:rsid w:val="25F6500A"/>
    <w:rsid w:val="2635368B"/>
    <w:rsid w:val="2655561D"/>
    <w:rsid w:val="267D6BF3"/>
    <w:rsid w:val="26826BA7"/>
    <w:rsid w:val="270D4AA7"/>
    <w:rsid w:val="274B75EB"/>
    <w:rsid w:val="276058D2"/>
    <w:rsid w:val="27890553"/>
    <w:rsid w:val="279B0629"/>
    <w:rsid w:val="27AB45A3"/>
    <w:rsid w:val="27FA30C1"/>
    <w:rsid w:val="28060C7F"/>
    <w:rsid w:val="28457DB7"/>
    <w:rsid w:val="28677DC2"/>
    <w:rsid w:val="28683BF6"/>
    <w:rsid w:val="286F0248"/>
    <w:rsid w:val="2877474D"/>
    <w:rsid w:val="28AE3FDA"/>
    <w:rsid w:val="28B846D6"/>
    <w:rsid w:val="291839F8"/>
    <w:rsid w:val="292613B8"/>
    <w:rsid w:val="29872AC5"/>
    <w:rsid w:val="29A5010A"/>
    <w:rsid w:val="29A869A3"/>
    <w:rsid w:val="29C428CC"/>
    <w:rsid w:val="29E30132"/>
    <w:rsid w:val="2A097DDB"/>
    <w:rsid w:val="2A4414AC"/>
    <w:rsid w:val="2ACC16C4"/>
    <w:rsid w:val="2B220E07"/>
    <w:rsid w:val="2B233137"/>
    <w:rsid w:val="2B403A68"/>
    <w:rsid w:val="2B612A0C"/>
    <w:rsid w:val="2B6864EA"/>
    <w:rsid w:val="2B8821DA"/>
    <w:rsid w:val="2BB36CC3"/>
    <w:rsid w:val="2BE55056"/>
    <w:rsid w:val="2C0D6776"/>
    <w:rsid w:val="2C10349E"/>
    <w:rsid w:val="2C3839CA"/>
    <w:rsid w:val="2C934619"/>
    <w:rsid w:val="2CA3312E"/>
    <w:rsid w:val="2CA473D6"/>
    <w:rsid w:val="2CAF6062"/>
    <w:rsid w:val="2CC13407"/>
    <w:rsid w:val="2CC56EA2"/>
    <w:rsid w:val="2D06552D"/>
    <w:rsid w:val="2D161567"/>
    <w:rsid w:val="2D721BD7"/>
    <w:rsid w:val="2D9B76CA"/>
    <w:rsid w:val="2DD8533E"/>
    <w:rsid w:val="2DF86567"/>
    <w:rsid w:val="2E03135E"/>
    <w:rsid w:val="2E244EA4"/>
    <w:rsid w:val="2E247394"/>
    <w:rsid w:val="2E260F30"/>
    <w:rsid w:val="2E371578"/>
    <w:rsid w:val="2E3C055E"/>
    <w:rsid w:val="2E463BEC"/>
    <w:rsid w:val="2E606846"/>
    <w:rsid w:val="2E672FF9"/>
    <w:rsid w:val="2E8F3B34"/>
    <w:rsid w:val="2EAD1822"/>
    <w:rsid w:val="2ECE38A8"/>
    <w:rsid w:val="2F3403EC"/>
    <w:rsid w:val="2F51719C"/>
    <w:rsid w:val="2F531A12"/>
    <w:rsid w:val="2F6E004A"/>
    <w:rsid w:val="2F722989"/>
    <w:rsid w:val="2FB11BD7"/>
    <w:rsid w:val="2FF50E40"/>
    <w:rsid w:val="301D0EE7"/>
    <w:rsid w:val="304F5B95"/>
    <w:rsid w:val="309C2237"/>
    <w:rsid w:val="30F33A69"/>
    <w:rsid w:val="30F91DF3"/>
    <w:rsid w:val="30FF13D4"/>
    <w:rsid w:val="310849AD"/>
    <w:rsid w:val="31377BBE"/>
    <w:rsid w:val="315F311B"/>
    <w:rsid w:val="31A0130C"/>
    <w:rsid w:val="31B9273E"/>
    <w:rsid w:val="31BB59D6"/>
    <w:rsid w:val="32127779"/>
    <w:rsid w:val="325F1A24"/>
    <w:rsid w:val="32691D4C"/>
    <w:rsid w:val="327D7C08"/>
    <w:rsid w:val="32B2145D"/>
    <w:rsid w:val="32E109B2"/>
    <w:rsid w:val="332348EF"/>
    <w:rsid w:val="332600FF"/>
    <w:rsid w:val="334C6086"/>
    <w:rsid w:val="33AD1686"/>
    <w:rsid w:val="33E258B7"/>
    <w:rsid w:val="33F578CB"/>
    <w:rsid w:val="34135C66"/>
    <w:rsid w:val="34285776"/>
    <w:rsid w:val="3434765B"/>
    <w:rsid w:val="34487793"/>
    <w:rsid w:val="344B4835"/>
    <w:rsid w:val="3453558D"/>
    <w:rsid w:val="347D3DE1"/>
    <w:rsid w:val="3494454D"/>
    <w:rsid w:val="352306D5"/>
    <w:rsid w:val="35430AD2"/>
    <w:rsid w:val="35590D73"/>
    <w:rsid w:val="35BB3C6B"/>
    <w:rsid w:val="362C0EDF"/>
    <w:rsid w:val="362C3468"/>
    <w:rsid w:val="367D23EC"/>
    <w:rsid w:val="36AC33A2"/>
    <w:rsid w:val="36AC3FAF"/>
    <w:rsid w:val="36F32A95"/>
    <w:rsid w:val="36F3688A"/>
    <w:rsid w:val="379F5604"/>
    <w:rsid w:val="37A83166"/>
    <w:rsid w:val="37D80492"/>
    <w:rsid w:val="37F17EDA"/>
    <w:rsid w:val="37FD1E70"/>
    <w:rsid w:val="38202DE9"/>
    <w:rsid w:val="383F6A95"/>
    <w:rsid w:val="38960696"/>
    <w:rsid w:val="39106BA9"/>
    <w:rsid w:val="3913269E"/>
    <w:rsid w:val="39215A73"/>
    <w:rsid w:val="39254488"/>
    <w:rsid w:val="39254C77"/>
    <w:rsid w:val="393728AD"/>
    <w:rsid w:val="39721668"/>
    <w:rsid w:val="39981654"/>
    <w:rsid w:val="39CA31BD"/>
    <w:rsid w:val="3A257495"/>
    <w:rsid w:val="3A3D3CB7"/>
    <w:rsid w:val="3A656771"/>
    <w:rsid w:val="3AF75B3E"/>
    <w:rsid w:val="3AFD06B0"/>
    <w:rsid w:val="3B173E38"/>
    <w:rsid w:val="3B3A30CF"/>
    <w:rsid w:val="3B843378"/>
    <w:rsid w:val="3BCA762E"/>
    <w:rsid w:val="3BDE13CB"/>
    <w:rsid w:val="3C21314E"/>
    <w:rsid w:val="3CCE5846"/>
    <w:rsid w:val="3CFC6B0A"/>
    <w:rsid w:val="3D083893"/>
    <w:rsid w:val="3D19114F"/>
    <w:rsid w:val="3D5428D5"/>
    <w:rsid w:val="3D75293E"/>
    <w:rsid w:val="3D836657"/>
    <w:rsid w:val="3DDB74B5"/>
    <w:rsid w:val="3DFA592D"/>
    <w:rsid w:val="3E5C0234"/>
    <w:rsid w:val="3E974E72"/>
    <w:rsid w:val="3EAB62DC"/>
    <w:rsid w:val="3EC64F89"/>
    <w:rsid w:val="3EF97BF6"/>
    <w:rsid w:val="3F0A2ABE"/>
    <w:rsid w:val="3F8A7BFB"/>
    <w:rsid w:val="400C75BC"/>
    <w:rsid w:val="401A7F9F"/>
    <w:rsid w:val="40321D52"/>
    <w:rsid w:val="403B3842"/>
    <w:rsid w:val="40660E41"/>
    <w:rsid w:val="40714262"/>
    <w:rsid w:val="40B05E0F"/>
    <w:rsid w:val="40B1564A"/>
    <w:rsid w:val="40B702BA"/>
    <w:rsid w:val="41561F78"/>
    <w:rsid w:val="41D73C50"/>
    <w:rsid w:val="420F6018"/>
    <w:rsid w:val="42142845"/>
    <w:rsid w:val="42246FA2"/>
    <w:rsid w:val="422F13CA"/>
    <w:rsid w:val="4274558C"/>
    <w:rsid w:val="4289724D"/>
    <w:rsid w:val="428D7F9F"/>
    <w:rsid w:val="428E6834"/>
    <w:rsid w:val="42AF1E3C"/>
    <w:rsid w:val="42D60EA1"/>
    <w:rsid w:val="42EF015F"/>
    <w:rsid w:val="432B34B5"/>
    <w:rsid w:val="433072F0"/>
    <w:rsid w:val="43756843"/>
    <w:rsid w:val="439B2008"/>
    <w:rsid w:val="439D4423"/>
    <w:rsid w:val="43A805F2"/>
    <w:rsid w:val="43BC76DC"/>
    <w:rsid w:val="43DB38C8"/>
    <w:rsid w:val="44377B28"/>
    <w:rsid w:val="44660E04"/>
    <w:rsid w:val="44926D35"/>
    <w:rsid w:val="44A818BD"/>
    <w:rsid w:val="44D14608"/>
    <w:rsid w:val="44D14A1D"/>
    <w:rsid w:val="4584078F"/>
    <w:rsid w:val="45A44B68"/>
    <w:rsid w:val="45CB4802"/>
    <w:rsid w:val="460B3A11"/>
    <w:rsid w:val="46251AD3"/>
    <w:rsid w:val="462A1D48"/>
    <w:rsid w:val="467553DC"/>
    <w:rsid w:val="467F6686"/>
    <w:rsid w:val="468E4C75"/>
    <w:rsid w:val="46C47172"/>
    <w:rsid w:val="46CD207B"/>
    <w:rsid w:val="47025732"/>
    <w:rsid w:val="4745226B"/>
    <w:rsid w:val="474F611B"/>
    <w:rsid w:val="475E2DB4"/>
    <w:rsid w:val="47A71933"/>
    <w:rsid w:val="47F13EB3"/>
    <w:rsid w:val="48077B09"/>
    <w:rsid w:val="48284933"/>
    <w:rsid w:val="48320334"/>
    <w:rsid w:val="48712253"/>
    <w:rsid w:val="48F637B2"/>
    <w:rsid w:val="48F940E9"/>
    <w:rsid w:val="495E4C4F"/>
    <w:rsid w:val="498324B9"/>
    <w:rsid w:val="49B02C43"/>
    <w:rsid w:val="49C51095"/>
    <w:rsid w:val="4A0601E4"/>
    <w:rsid w:val="4A19378C"/>
    <w:rsid w:val="4A747FBB"/>
    <w:rsid w:val="4A8627F3"/>
    <w:rsid w:val="4AA13FB0"/>
    <w:rsid w:val="4ABF2900"/>
    <w:rsid w:val="4ACD7F04"/>
    <w:rsid w:val="4AEE037C"/>
    <w:rsid w:val="4B3A2663"/>
    <w:rsid w:val="4BD60697"/>
    <w:rsid w:val="4BFD6CE4"/>
    <w:rsid w:val="4C0130F7"/>
    <w:rsid w:val="4C6C392B"/>
    <w:rsid w:val="4CAD3364"/>
    <w:rsid w:val="4CC55814"/>
    <w:rsid w:val="4CEE43A1"/>
    <w:rsid w:val="4CF37E50"/>
    <w:rsid w:val="4D117C84"/>
    <w:rsid w:val="4D2E6202"/>
    <w:rsid w:val="4D6D435C"/>
    <w:rsid w:val="4D7D32A0"/>
    <w:rsid w:val="4DBB7523"/>
    <w:rsid w:val="4DC90FBD"/>
    <w:rsid w:val="4DCA147C"/>
    <w:rsid w:val="4DE1407F"/>
    <w:rsid w:val="4DED1422"/>
    <w:rsid w:val="4DEF0CA9"/>
    <w:rsid w:val="4DF913EC"/>
    <w:rsid w:val="4E27001A"/>
    <w:rsid w:val="4E622165"/>
    <w:rsid w:val="4E7A0233"/>
    <w:rsid w:val="4EC818A2"/>
    <w:rsid w:val="4ECA7791"/>
    <w:rsid w:val="4ECC2063"/>
    <w:rsid w:val="4F1770EF"/>
    <w:rsid w:val="4F4C3012"/>
    <w:rsid w:val="4F7F3133"/>
    <w:rsid w:val="4F9A2F5C"/>
    <w:rsid w:val="4FAE4A19"/>
    <w:rsid w:val="4FC50B16"/>
    <w:rsid w:val="4FD81D35"/>
    <w:rsid w:val="4FEA2B15"/>
    <w:rsid w:val="4FFF46F5"/>
    <w:rsid w:val="5016385F"/>
    <w:rsid w:val="502A0FE5"/>
    <w:rsid w:val="506A1C3F"/>
    <w:rsid w:val="50B742BD"/>
    <w:rsid w:val="50C552E6"/>
    <w:rsid w:val="50DF4493"/>
    <w:rsid w:val="51040129"/>
    <w:rsid w:val="514A3D49"/>
    <w:rsid w:val="51544DF4"/>
    <w:rsid w:val="51AF17B5"/>
    <w:rsid w:val="52C00FE1"/>
    <w:rsid w:val="52C2661B"/>
    <w:rsid w:val="53102BFB"/>
    <w:rsid w:val="5313417F"/>
    <w:rsid w:val="53757BF3"/>
    <w:rsid w:val="53877079"/>
    <w:rsid w:val="539571D0"/>
    <w:rsid w:val="53B15848"/>
    <w:rsid w:val="53FD3890"/>
    <w:rsid w:val="54052547"/>
    <w:rsid w:val="542F12E6"/>
    <w:rsid w:val="54574A01"/>
    <w:rsid w:val="54883552"/>
    <w:rsid w:val="548B3204"/>
    <w:rsid w:val="54A00F83"/>
    <w:rsid w:val="54D44427"/>
    <w:rsid w:val="54EF5C89"/>
    <w:rsid w:val="550321CB"/>
    <w:rsid w:val="552121CF"/>
    <w:rsid w:val="55277195"/>
    <w:rsid w:val="5544217F"/>
    <w:rsid w:val="554D79E0"/>
    <w:rsid w:val="555B3FA7"/>
    <w:rsid w:val="557F1D2F"/>
    <w:rsid w:val="557F2CB9"/>
    <w:rsid w:val="55931010"/>
    <w:rsid w:val="55B30EA8"/>
    <w:rsid w:val="55EE15D0"/>
    <w:rsid w:val="55F97021"/>
    <w:rsid w:val="5607668C"/>
    <w:rsid w:val="56277F8F"/>
    <w:rsid w:val="56424F8C"/>
    <w:rsid w:val="56A45C1A"/>
    <w:rsid w:val="56E219C8"/>
    <w:rsid w:val="56FF564A"/>
    <w:rsid w:val="570E21E3"/>
    <w:rsid w:val="571836A3"/>
    <w:rsid w:val="57534D95"/>
    <w:rsid w:val="576E061A"/>
    <w:rsid w:val="57861C48"/>
    <w:rsid w:val="578D4374"/>
    <w:rsid w:val="578E7B60"/>
    <w:rsid w:val="57B04677"/>
    <w:rsid w:val="57BD5C1B"/>
    <w:rsid w:val="57D42F00"/>
    <w:rsid w:val="57E37649"/>
    <w:rsid w:val="57EA7174"/>
    <w:rsid w:val="57EF1B0A"/>
    <w:rsid w:val="58545E82"/>
    <w:rsid w:val="586B23FD"/>
    <w:rsid w:val="587553E6"/>
    <w:rsid w:val="587E2DD8"/>
    <w:rsid w:val="58A70FA7"/>
    <w:rsid w:val="58AF087A"/>
    <w:rsid w:val="58D60D7A"/>
    <w:rsid w:val="58F315DB"/>
    <w:rsid w:val="58FD0F95"/>
    <w:rsid w:val="58FF7301"/>
    <w:rsid w:val="5901591A"/>
    <w:rsid w:val="59142717"/>
    <w:rsid w:val="59317327"/>
    <w:rsid w:val="594408E6"/>
    <w:rsid w:val="596245FB"/>
    <w:rsid w:val="59B810BA"/>
    <w:rsid w:val="59CD6596"/>
    <w:rsid w:val="59D852C3"/>
    <w:rsid w:val="59DA1659"/>
    <w:rsid w:val="59E93D84"/>
    <w:rsid w:val="59F41A87"/>
    <w:rsid w:val="5A0A25F9"/>
    <w:rsid w:val="5A46667B"/>
    <w:rsid w:val="5A914891"/>
    <w:rsid w:val="5A970C1E"/>
    <w:rsid w:val="5A983FA2"/>
    <w:rsid w:val="5AA1612D"/>
    <w:rsid w:val="5AA270EF"/>
    <w:rsid w:val="5AB27690"/>
    <w:rsid w:val="5B336962"/>
    <w:rsid w:val="5B572BD6"/>
    <w:rsid w:val="5B5744D4"/>
    <w:rsid w:val="5B940D18"/>
    <w:rsid w:val="5BBD7B15"/>
    <w:rsid w:val="5BFB01BA"/>
    <w:rsid w:val="5C2712BB"/>
    <w:rsid w:val="5CD17463"/>
    <w:rsid w:val="5D045683"/>
    <w:rsid w:val="5D0E1D0F"/>
    <w:rsid w:val="5D1414D5"/>
    <w:rsid w:val="5D304691"/>
    <w:rsid w:val="5DA664E9"/>
    <w:rsid w:val="5DC130A1"/>
    <w:rsid w:val="5DC52D64"/>
    <w:rsid w:val="5DE7130B"/>
    <w:rsid w:val="5E0303F3"/>
    <w:rsid w:val="5E172E7F"/>
    <w:rsid w:val="5E594CE9"/>
    <w:rsid w:val="5E5D1043"/>
    <w:rsid w:val="5EDF7334"/>
    <w:rsid w:val="5EF26FC8"/>
    <w:rsid w:val="5F08355A"/>
    <w:rsid w:val="5F1500D5"/>
    <w:rsid w:val="5F307D28"/>
    <w:rsid w:val="5F390425"/>
    <w:rsid w:val="5F47087C"/>
    <w:rsid w:val="5F753B87"/>
    <w:rsid w:val="5F806A53"/>
    <w:rsid w:val="5F9D5490"/>
    <w:rsid w:val="5FB64619"/>
    <w:rsid w:val="60483AFC"/>
    <w:rsid w:val="60BF3074"/>
    <w:rsid w:val="60C077FB"/>
    <w:rsid w:val="60C643C6"/>
    <w:rsid w:val="60E05CFF"/>
    <w:rsid w:val="60FA608F"/>
    <w:rsid w:val="610476D2"/>
    <w:rsid w:val="618658F7"/>
    <w:rsid w:val="61A076E7"/>
    <w:rsid w:val="61FB3662"/>
    <w:rsid w:val="62163DDE"/>
    <w:rsid w:val="62192143"/>
    <w:rsid w:val="62381AC1"/>
    <w:rsid w:val="629D0CA7"/>
    <w:rsid w:val="62A54439"/>
    <w:rsid w:val="62C03E57"/>
    <w:rsid w:val="62C276AA"/>
    <w:rsid w:val="62C76F5B"/>
    <w:rsid w:val="62D83191"/>
    <w:rsid w:val="62DA3938"/>
    <w:rsid w:val="632A6CD6"/>
    <w:rsid w:val="633B51FE"/>
    <w:rsid w:val="634F5E92"/>
    <w:rsid w:val="634F6CED"/>
    <w:rsid w:val="63611459"/>
    <w:rsid w:val="63EB79C1"/>
    <w:rsid w:val="640123EE"/>
    <w:rsid w:val="646167AA"/>
    <w:rsid w:val="649316B4"/>
    <w:rsid w:val="64BC7E5D"/>
    <w:rsid w:val="64C61424"/>
    <w:rsid w:val="65434E0C"/>
    <w:rsid w:val="656106CE"/>
    <w:rsid w:val="65851CAE"/>
    <w:rsid w:val="65B9402B"/>
    <w:rsid w:val="65D4170A"/>
    <w:rsid w:val="65DE1621"/>
    <w:rsid w:val="663B4A91"/>
    <w:rsid w:val="666E4A9F"/>
    <w:rsid w:val="669A444B"/>
    <w:rsid w:val="66D51E89"/>
    <w:rsid w:val="6707324A"/>
    <w:rsid w:val="67085A59"/>
    <w:rsid w:val="6711337D"/>
    <w:rsid w:val="67433087"/>
    <w:rsid w:val="677F20C4"/>
    <w:rsid w:val="67B67B12"/>
    <w:rsid w:val="68243CDE"/>
    <w:rsid w:val="683E40CA"/>
    <w:rsid w:val="6865323F"/>
    <w:rsid w:val="68702007"/>
    <w:rsid w:val="68A708C4"/>
    <w:rsid w:val="68DC7C8A"/>
    <w:rsid w:val="68E66501"/>
    <w:rsid w:val="68FB436D"/>
    <w:rsid w:val="690B0883"/>
    <w:rsid w:val="694748B8"/>
    <w:rsid w:val="696855F4"/>
    <w:rsid w:val="69BB3D17"/>
    <w:rsid w:val="69E83184"/>
    <w:rsid w:val="6A0942FC"/>
    <w:rsid w:val="6A1C1B8B"/>
    <w:rsid w:val="6AE85A9F"/>
    <w:rsid w:val="6AF27E33"/>
    <w:rsid w:val="6AF756C5"/>
    <w:rsid w:val="6BB43B26"/>
    <w:rsid w:val="6BD60812"/>
    <w:rsid w:val="6C356DF8"/>
    <w:rsid w:val="6C3A5F99"/>
    <w:rsid w:val="6C5061B9"/>
    <w:rsid w:val="6C5462CE"/>
    <w:rsid w:val="6C734CD0"/>
    <w:rsid w:val="6CA01639"/>
    <w:rsid w:val="6CC754CF"/>
    <w:rsid w:val="6CC945B9"/>
    <w:rsid w:val="6D06206F"/>
    <w:rsid w:val="6D3F5F45"/>
    <w:rsid w:val="6D4E2193"/>
    <w:rsid w:val="6D686108"/>
    <w:rsid w:val="6DBD2EC2"/>
    <w:rsid w:val="6DE87E0B"/>
    <w:rsid w:val="6DF55442"/>
    <w:rsid w:val="6E0B1A55"/>
    <w:rsid w:val="6E1439DD"/>
    <w:rsid w:val="6E637B8B"/>
    <w:rsid w:val="6E6F657B"/>
    <w:rsid w:val="6E837DF7"/>
    <w:rsid w:val="6E8A2275"/>
    <w:rsid w:val="6E9F665C"/>
    <w:rsid w:val="6ECE6BCF"/>
    <w:rsid w:val="6EE67DB6"/>
    <w:rsid w:val="6EEE0E8F"/>
    <w:rsid w:val="6F09124B"/>
    <w:rsid w:val="6F4A573A"/>
    <w:rsid w:val="6F4F0F99"/>
    <w:rsid w:val="6FB34A40"/>
    <w:rsid w:val="6FF115B0"/>
    <w:rsid w:val="7019780A"/>
    <w:rsid w:val="701B06E6"/>
    <w:rsid w:val="70AA0163"/>
    <w:rsid w:val="70D67915"/>
    <w:rsid w:val="70DE7441"/>
    <w:rsid w:val="70EF6A7A"/>
    <w:rsid w:val="71016540"/>
    <w:rsid w:val="715D4466"/>
    <w:rsid w:val="717B4CFC"/>
    <w:rsid w:val="71976536"/>
    <w:rsid w:val="71DD58CC"/>
    <w:rsid w:val="71F1761F"/>
    <w:rsid w:val="720D7EDF"/>
    <w:rsid w:val="72540934"/>
    <w:rsid w:val="72542494"/>
    <w:rsid w:val="727E575E"/>
    <w:rsid w:val="72B953BF"/>
    <w:rsid w:val="72C51CB7"/>
    <w:rsid w:val="730E0E5B"/>
    <w:rsid w:val="73193AFB"/>
    <w:rsid w:val="732225E7"/>
    <w:rsid w:val="73342A2E"/>
    <w:rsid w:val="7357557B"/>
    <w:rsid w:val="735A4333"/>
    <w:rsid w:val="7362137C"/>
    <w:rsid w:val="73EA6505"/>
    <w:rsid w:val="74882006"/>
    <w:rsid w:val="749D2BF2"/>
    <w:rsid w:val="74A33A26"/>
    <w:rsid w:val="74D931C0"/>
    <w:rsid w:val="74DF34FA"/>
    <w:rsid w:val="752F6678"/>
    <w:rsid w:val="75682CD3"/>
    <w:rsid w:val="759A1104"/>
    <w:rsid w:val="75E326A9"/>
    <w:rsid w:val="76114DBC"/>
    <w:rsid w:val="76124461"/>
    <w:rsid w:val="76921C2D"/>
    <w:rsid w:val="7697327A"/>
    <w:rsid w:val="76A61578"/>
    <w:rsid w:val="76CD3FE8"/>
    <w:rsid w:val="76FF5611"/>
    <w:rsid w:val="771A2D8E"/>
    <w:rsid w:val="774E4D21"/>
    <w:rsid w:val="777A2546"/>
    <w:rsid w:val="77995753"/>
    <w:rsid w:val="77AD7E13"/>
    <w:rsid w:val="77BF7CF3"/>
    <w:rsid w:val="77C62433"/>
    <w:rsid w:val="77C64689"/>
    <w:rsid w:val="77CD4E88"/>
    <w:rsid w:val="77E7480F"/>
    <w:rsid w:val="78190C06"/>
    <w:rsid w:val="78231DC1"/>
    <w:rsid w:val="78285714"/>
    <w:rsid w:val="785D574A"/>
    <w:rsid w:val="7890577B"/>
    <w:rsid w:val="78AC1F83"/>
    <w:rsid w:val="78CD10AD"/>
    <w:rsid w:val="78E7301B"/>
    <w:rsid w:val="78E864D5"/>
    <w:rsid w:val="791474EE"/>
    <w:rsid w:val="795438FB"/>
    <w:rsid w:val="79703E36"/>
    <w:rsid w:val="798E1C11"/>
    <w:rsid w:val="799B0D6A"/>
    <w:rsid w:val="79B63BD1"/>
    <w:rsid w:val="79B841F4"/>
    <w:rsid w:val="79EE7531"/>
    <w:rsid w:val="7A2A5C90"/>
    <w:rsid w:val="7A391D94"/>
    <w:rsid w:val="7A7F0798"/>
    <w:rsid w:val="7A88230B"/>
    <w:rsid w:val="7AB82AF8"/>
    <w:rsid w:val="7ADB1034"/>
    <w:rsid w:val="7AE35119"/>
    <w:rsid w:val="7AE54055"/>
    <w:rsid w:val="7AE734E9"/>
    <w:rsid w:val="7AE93A96"/>
    <w:rsid w:val="7B471FAC"/>
    <w:rsid w:val="7B6918B7"/>
    <w:rsid w:val="7B755E60"/>
    <w:rsid w:val="7B8A711C"/>
    <w:rsid w:val="7B8E4BEF"/>
    <w:rsid w:val="7B906928"/>
    <w:rsid w:val="7BAA152A"/>
    <w:rsid w:val="7BF5023D"/>
    <w:rsid w:val="7BFC5BB1"/>
    <w:rsid w:val="7C1616FB"/>
    <w:rsid w:val="7C171BB1"/>
    <w:rsid w:val="7C46175F"/>
    <w:rsid w:val="7C7F3354"/>
    <w:rsid w:val="7C814C00"/>
    <w:rsid w:val="7C9D6BB9"/>
    <w:rsid w:val="7CA77F8F"/>
    <w:rsid w:val="7CC35C89"/>
    <w:rsid w:val="7D2B6621"/>
    <w:rsid w:val="7D570759"/>
    <w:rsid w:val="7E0843EE"/>
    <w:rsid w:val="7E2E6E54"/>
    <w:rsid w:val="7E5725FF"/>
    <w:rsid w:val="7E730862"/>
    <w:rsid w:val="7E735245"/>
    <w:rsid w:val="7EB018B3"/>
    <w:rsid w:val="7EE80878"/>
    <w:rsid w:val="7F2E7DE5"/>
    <w:rsid w:val="7F427423"/>
    <w:rsid w:val="7F801318"/>
    <w:rsid w:val="7FC01639"/>
    <w:rsid w:val="7FDA4DBE"/>
    <w:rsid w:val="7FEA1CF1"/>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ocked="1"/>
    <w:lsdException w:qFormat="1" w:unhideWhenUsed="0" w:uiPriority="0" w:semiHidden="0" w:name="heading 4"/>
    <w:lsdException w:qFormat="1" w:unhideWhenUsed="0" w:uiPriority="0" w:semiHidden="0" w:name="heading 5"/>
    <w:lsdException w:qFormat="1" w:unhideWhenUsed="0" w:uiPriority="0" w:semiHidden="0" w:name="heading 6"/>
    <w:lsdException w:qFormat="1" w:uiPriority="0" w:name="heading 7"/>
    <w:lsdException w:qFormat="1" w:uiPriority="0" w:name="heading 8"/>
    <w:lsdException w:qFormat="1" w:uiPriority="0" w:name="heading 9"/>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39" w:semiHidden="0" w:name="toc 1"/>
    <w:lsdException w:qFormat="1" w:unhideWhenUsed="0" w:uiPriority="0" w:semiHidden="0" w:name="toc 2"/>
    <w:lsdException w:uiPriority="0" w:name="toc 3"/>
    <w:lsdException w:qFormat="1" w:unhideWhenUsed="0" w:uiPriority="0" w:semiHidden="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qFormat="1" w:unhideWhenUsed="0" w:uiPriority="0" w:semiHidden="0" w:name="footnote text" w:locked="1"/>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ocked="1"/>
    <w:lsdException w:qFormat="1" w:uiPriority="0" w:name="caption"/>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0" w:semiHidden="0" w:name="annotation reference" w:locked="1"/>
    <w:lsdException w:uiPriority="0" w:name="line number" w:locked="1"/>
    <w:lsdException w:qFormat="1" w:unhideWhenUsed="0" w:uiPriority="0" w:semiHidden="0" w:name="page number"/>
    <w:lsdException w:uiPriority="0" w:name="endnote reference" w:locked="1"/>
    <w:lsdException w:uiPriority="0" w:name="endnote text" w:locked="1"/>
    <w:lsdException w:unhideWhenUsed="0" w:uiPriority="0" w:semiHidden="0" w:name="table of authorities" w:locked="1"/>
    <w:lsdException w:uiPriority="0" w:name="macro" w:locked="1"/>
    <w:lsdException w:uiPriority="0" w:name="toa heading" w:locked="1"/>
    <w:lsdException w:unhideWhenUsed="0" w:uiPriority="0" w:semiHidden="0" w:name="List" w:locked="1"/>
    <w:lsdException w:unhideWhenUsed="0" w:uiPriority="0" w:semiHidden="0" w:name="List Bullet" w:locked="1"/>
    <w:lsdException w:uiPriority="0" w:name="List Number" w:locked="1"/>
    <w:lsdException w:uiPriority="0" w:name="List 2" w:locked="1"/>
    <w:lsdException w:uiPriority="0" w:name="List 3" w:locked="1"/>
    <w:lsdException w:uiPriority="0" w:name="List 4" w:locked="1"/>
    <w:lsdException w:uiPriority="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iPriority="0" w:name="Message Header" w:locked="1"/>
    <w:lsdException w:qFormat="1" w:unhideWhenUsed="0" w:uiPriority="0" w:semiHidden="0" w:name="Subtitle"/>
    <w:lsdException w:uiPriority="0" w:name="Salutation" w:locked="1"/>
    <w:lsdException w:qFormat="1" w:unhideWhenUsed="0" w:uiPriority="0" w:semiHidden="0" w:name="Date"/>
    <w:lsdException w:qFormat="1" w:unhideWhenUsed="0" w:uiPriority="99" w:semiHidden="0" w:name="Body Text First Indent" w:locked="1"/>
    <w:lsdException w:qFormat="1" w:unhideWhenUsed="0" w:uiPriority="0" w:semiHidden="0" w:name="Body Text First Indent 2" w:locked="1"/>
    <w:lsdException w:uiPriority="0" w:name="Note Heading" w:locked="1"/>
    <w:lsdException w:uiPriority="0" w:name="Body Text 2" w:locked="1"/>
    <w:lsdException w:qFormat="1" w:unhideWhenUsed="0" w:uiPriority="0" w:semiHidden="0" w:name="Body Text 3" w:locked="1"/>
    <w:lsdException w:uiPriority="0" w:name="Body Text Indent 2" w:locked="1"/>
    <w:lsdException w:uiPriority="0" w:name="Body Text Indent 3" w:locked="1"/>
    <w:lsdException w:uiPriority="0" w:name="Block Text" w:locked="1"/>
    <w:lsdException w:qFormat="1" w:unhideWhenUsed="0" w:uiPriority="99" w:semiHidden="0" w:name="Hyperlink"/>
    <w:lsdException w:qFormat="1" w:unhideWhenUsed="0" w:uiPriority="0" w:semiHidden="0" w:name="FollowedHyperlink" w:locked="1"/>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ocked="1"/>
    <w:lsdException w:qFormat="1" w:unhideWhenUsed="0" w:uiPriority="99" w:semiHidden="0" w:name="Normal (Web)" w:locked="1"/>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qFormat="1" w:unhideWhenUsed="0" w:uiPriority="0" w:semiHidden="0" w:name="HTML Preformatted" w:locked="1"/>
    <w:lsdException w:uiPriority="0" w:name="HTML Sample" w:locked="1"/>
    <w:lsdException w:qFormat="1" w:unhideWhenUsed="0" w:uiPriority="0" w:semiHidden="0" w:name="HTML Typewriter" w:locked="1"/>
    <w:lsdException w:uiPriority="0" w:name="HTML Variable" w:locked="1"/>
    <w:lsdException w:qFormat="1" w:uiPriority="99" w:name="Normal Table"/>
    <w:lsdException w:qFormat="1" w:unhideWhenUsed="0" w:uiPriority="0" w:semiHidden="0" w:name="annotation subject" w:locked="1"/>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ocked="1"/>
    <w:lsdException w:uiPriority="0" w:name="Table Theme" w:locked="1"/>
    <w:lsdException w:qFormat="1" w:uiPriority="99" w:semiHidden="0"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spacing w:line="360" w:lineRule="auto"/>
    </w:pPr>
    <w:rPr>
      <w:rFonts w:ascii="宋体" w:hAnsi="宋体" w:eastAsia="宋体" w:cs="Times New Roman"/>
      <w:kern w:val="2"/>
      <w:sz w:val="24"/>
      <w:szCs w:val="24"/>
      <w:lang w:val="en-US" w:eastAsia="zh-CN" w:bidi="ar-SA"/>
    </w:rPr>
  </w:style>
  <w:style w:type="paragraph" w:styleId="2">
    <w:name w:val="heading 1"/>
    <w:basedOn w:val="1"/>
    <w:next w:val="1"/>
    <w:link w:val="39"/>
    <w:qFormat/>
    <w:uiPriority w:val="0"/>
    <w:pPr>
      <w:keepNext/>
      <w:keepLines/>
      <w:jc w:val="center"/>
      <w:outlineLvl w:val="0"/>
    </w:pPr>
    <w:rPr>
      <w:rFonts w:ascii="Calibri" w:hAnsi="Calibri"/>
      <w:b/>
      <w:bCs/>
      <w:kern w:val="44"/>
      <w:sz w:val="32"/>
      <w:szCs w:val="44"/>
    </w:rPr>
  </w:style>
  <w:style w:type="paragraph" w:styleId="3">
    <w:name w:val="heading 2"/>
    <w:basedOn w:val="1"/>
    <w:next w:val="1"/>
    <w:link w:val="40"/>
    <w:qFormat/>
    <w:uiPriority w:val="0"/>
    <w:pPr>
      <w:keepNext/>
      <w:keepLines/>
      <w:outlineLvl w:val="1"/>
    </w:pPr>
    <w:rPr>
      <w:rFonts w:ascii="Cambria" w:hAnsi="Cambria"/>
      <w:b/>
      <w:bCs/>
      <w:kern w:val="0"/>
      <w:sz w:val="28"/>
      <w:szCs w:val="32"/>
    </w:rPr>
  </w:style>
  <w:style w:type="paragraph" w:styleId="4">
    <w:name w:val="heading 3"/>
    <w:basedOn w:val="1"/>
    <w:next w:val="1"/>
    <w:link w:val="41"/>
    <w:qFormat/>
    <w:locked/>
    <w:uiPriority w:val="0"/>
    <w:pPr>
      <w:keepNext/>
      <w:keepLines/>
      <w:ind w:left="200" w:leftChars="200"/>
      <w:outlineLvl w:val="2"/>
    </w:pPr>
    <w:rPr>
      <w:b/>
      <w:bCs/>
      <w:kern w:val="0"/>
      <w:szCs w:val="32"/>
    </w:rPr>
  </w:style>
  <w:style w:type="paragraph" w:styleId="5">
    <w:name w:val="heading 4"/>
    <w:basedOn w:val="1"/>
    <w:next w:val="1"/>
    <w:qFormat/>
    <w:uiPriority w:val="0"/>
    <w:pPr>
      <w:keepNext/>
      <w:keepLines/>
      <w:ind w:left="200" w:leftChars="200"/>
      <w:outlineLvl w:val="3"/>
    </w:pPr>
    <w:rPr>
      <w:b/>
      <w:bCs/>
      <w:szCs w:val="28"/>
    </w:rPr>
  </w:style>
  <w:style w:type="paragraph" w:styleId="6">
    <w:name w:val="heading 5"/>
    <w:basedOn w:val="1"/>
    <w:next w:val="1"/>
    <w:link w:val="42"/>
    <w:qFormat/>
    <w:uiPriority w:val="0"/>
    <w:pPr>
      <w:keepNext/>
      <w:keepLines/>
      <w:spacing w:before="280" w:after="290" w:line="376" w:lineRule="auto"/>
      <w:outlineLvl w:val="4"/>
    </w:pPr>
    <w:rPr>
      <w:b/>
      <w:bCs/>
      <w:sz w:val="28"/>
      <w:szCs w:val="28"/>
    </w:rPr>
  </w:style>
  <w:style w:type="paragraph" w:styleId="7">
    <w:name w:val="heading 6"/>
    <w:basedOn w:val="1"/>
    <w:next w:val="1"/>
    <w:link w:val="43"/>
    <w:qFormat/>
    <w:uiPriority w:val="0"/>
    <w:pPr>
      <w:keepNext/>
      <w:keepLines/>
      <w:spacing w:before="240" w:after="64" w:line="320" w:lineRule="auto"/>
      <w:outlineLvl w:val="5"/>
    </w:pPr>
    <w:rPr>
      <w:rFonts w:ascii="Cambria" w:hAnsi="Cambria"/>
      <w:b/>
      <w:bCs/>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8">
    <w:name w:val="Normal Indent"/>
    <w:basedOn w:val="1"/>
    <w:next w:val="1"/>
    <w:link w:val="44"/>
    <w:qFormat/>
    <w:uiPriority w:val="0"/>
    <w:pPr>
      <w:spacing w:before="60"/>
      <w:ind w:firstLine="420" w:firstLineChars="200"/>
    </w:pPr>
    <w:rPr>
      <w:sz w:val="21"/>
    </w:rPr>
  </w:style>
  <w:style w:type="paragraph" w:styleId="9">
    <w:name w:val="Document Map"/>
    <w:basedOn w:val="1"/>
    <w:link w:val="45"/>
    <w:qFormat/>
    <w:uiPriority w:val="0"/>
    <w:pPr>
      <w:widowControl/>
      <w:shd w:val="clear" w:color="auto" w:fill="000080"/>
    </w:pPr>
    <w:rPr>
      <w:kern w:val="0"/>
      <w:sz w:val="21"/>
      <w:szCs w:val="20"/>
    </w:rPr>
  </w:style>
  <w:style w:type="paragraph" w:styleId="10">
    <w:name w:val="annotation text"/>
    <w:basedOn w:val="1"/>
    <w:link w:val="46"/>
    <w:qFormat/>
    <w:uiPriority w:val="0"/>
    <w:rPr>
      <w:kern w:val="0"/>
    </w:rPr>
  </w:style>
  <w:style w:type="paragraph" w:styleId="11">
    <w:name w:val="Body Text 3"/>
    <w:basedOn w:val="1"/>
    <w:link w:val="47"/>
    <w:qFormat/>
    <w:locked/>
    <w:uiPriority w:val="0"/>
    <w:pPr>
      <w:widowControl/>
      <w:spacing w:after="120"/>
    </w:pPr>
    <w:rPr>
      <w:kern w:val="0"/>
      <w:sz w:val="16"/>
      <w:szCs w:val="16"/>
    </w:rPr>
  </w:style>
  <w:style w:type="paragraph" w:styleId="12">
    <w:name w:val="Body Text"/>
    <w:basedOn w:val="1"/>
    <w:next w:val="1"/>
    <w:link w:val="48"/>
    <w:qFormat/>
    <w:uiPriority w:val="0"/>
    <w:pPr>
      <w:spacing w:after="120"/>
    </w:pPr>
    <w:rPr>
      <w:kern w:val="0"/>
    </w:rPr>
  </w:style>
  <w:style w:type="paragraph" w:styleId="13">
    <w:name w:val="Body Text Indent"/>
    <w:basedOn w:val="1"/>
    <w:next w:val="14"/>
    <w:link w:val="49"/>
    <w:qFormat/>
    <w:uiPriority w:val="0"/>
    <w:pPr>
      <w:spacing w:line="480" w:lineRule="auto"/>
      <w:ind w:firstLine="560" w:firstLineChars="200"/>
    </w:pPr>
    <w:rPr>
      <w:kern w:val="0"/>
    </w:rPr>
  </w:style>
  <w:style w:type="paragraph" w:styleId="14">
    <w:name w:val="Body Text First Indent 2"/>
    <w:basedOn w:val="13"/>
    <w:next w:val="1"/>
    <w:link w:val="50"/>
    <w:qFormat/>
    <w:locked/>
    <w:uiPriority w:val="0"/>
    <w:pPr>
      <w:spacing w:after="120" w:line="240" w:lineRule="auto"/>
      <w:ind w:left="420" w:leftChars="200" w:firstLine="420"/>
    </w:pPr>
    <w:rPr>
      <w:sz w:val="21"/>
    </w:rPr>
  </w:style>
  <w:style w:type="paragraph" w:styleId="15">
    <w:name w:val="Plain Text"/>
    <w:basedOn w:val="1"/>
    <w:link w:val="51"/>
    <w:qFormat/>
    <w:uiPriority w:val="0"/>
    <w:rPr>
      <w:rFonts w:hAnsi="Courier New"/>
      <w:kern w:val="0"/>
      <w:sz w:val="21"/>
      <w:szCs w:val="21"/>
    </w:rPr>
  </w:style>
  <w:style w:type="paragraph" w:styleId="16">
    <w:name w:val="Date"/>
    <w:basedOn w:val="1"/>
    <w:next w:val="1"/>
    <w:link w:val="52"/>
    <w:qFormat/>
    <w:uiPriority w:val="0"/>
    <w:pPr>
      <w:ind w:left="100" w:leftChars="2500"/>
    </w:pPr>
    <w:rPr>
      <w:rFonts w:ascii="Times New Roman" w:hAnsi="Times New Roman"/>
      <w:kern w:val="0"/>
    </w:rPr>
  </w:style>
  <w:style w:type="paragraph" w:styleId="17">
    <w:name w:val="Balloon Text"/>
    <w:basedOn w:val="1"/>
    <w:link w:val="53"/>
    <w:qFormat/>
    <w:uiPriority w:val="0"/>
    <w:rPr>
      <w:rFonts w:ascii="Times New Roman" w:hAnsi="Times New Roman"/>
      <w:sz w:val="18"/>
      <w:szCs w:val="18"/>
    </w:rPr>
  </w:style>
  <w:style w:type="paragraph" w:styleId="18">
    <w:name w:val="footer"/>
    <w:basedOn w:val="1"/>
    <w:link w:val="54"/>
    <w:qFormat/>
    <w:uiPriority w:val="99"/>
    <w:pPr>
      <w:tabs>
        <w:tab w:val="center" w:pos="4153"/>
        <w:tab w:val="right" w:pos="8306"/>
      </w:tabs>
      <w:snapToGrid w:val="0"/>
    </w:pPr>
    <w:rPr>
      <w:kern w:val="0"/>
      <w:sz w:val="18"/>
      <w:szCs w:val="18"/>
    </w:rPr>
  </w:style>
  <w:style w:type="paragraph" w:styleId="19">
    <w:name w:val="header"/>
    <w:basedOn w:val="1"/>
    <w:link w:val="55"/>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kern w:val="0"/>
      <w:sz w:val="18"/>
      <w:szCs w:val="18"/>
    </w:rPr>
  </w:style>
  <w:style w:type="paragraph" w:styleId="20">
    <w:name w:val="toc 1"/>
    <w:basedOn w:val="1"/>
    <w:next w:val="1"/>
    <w:qFormat/>
    <w:uiPriority w:val="39"/>
    <w:pPr>
      <w:tabs>
        <w:tab w:val="right" w:leader="dot" w:pos="8858"/>
      </w:tabs>
    </w:pPr>
    <w:rPr>
      <w:sz w:val="32"/>
    </w:rPr>
  </w:style>
  <w:style w:type="paragraph" w:styleId="21">
    <w:name w:val="toc 4"/>
    <w:basedOn w:val="1"/>
    <w:next w:val="1"/>
    <w:qFormat/>
    <w:uiPriority w:val="0"/>
    <w:pPr>
      <w:ind w:left="1260" w:leftChars="600"/>
    </w:pPr>
  </w:style>
  <w:style w:type="paragraph" w:styleId="22">
    <w:name w:val="footnote text"/>
    <w:basedOn w:val="1"/>
    <w:qFormat/>
    <w:locked/>
    <w:uiPriority w:val="0"/>
    <w:pPr>
      <w:snapToGrid w:val="0"/>
    </w:pPr>
    <w:rPr>
      <w:sz w:val="18"/>
    </w:rPr>
  </w:style>
  <w:style w:type="paragraph" w:styleId="23">
    <w:name w:val="toc 2"/>
    <w:basedOn w:val="1"/>
    <w:next w:val="1"/>
    <w:qFormat/>
    <w:uiPriority w:val="0"/>
    <w:pPr>
      <w:tabs>
        <w:tab w:val="right" w:leader="dot" w:pos="8858"/>
      </w:tabs>
      <w:spacing w:line="700" w:lineRule="exact"/>
      <w:ind w:left="420" w:leftChars="200"/>
    </w:pPr>
  </w:style>
  <w:style w:type="paragraph" w:styleId="24">
    <w:name w:val="HTML Preformatted"/>
    <w:basedOn w:val="1"/>
    <w:qFormat/>
    <w:locked/>
    <w:uiPriority w:val="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hint="eastAsia"/>
      <w:kern w:val="0"/>
    </w:rPr>
  </w:style>
  <w:style w:type="paragraph" w:styleId="25">
    <w:name w:val="Normal (Web)"/>
    <w:basedOn w:val="1"/>
    <w:qFormat/>
    <w:locked/>
    <w:uiPriority w:val="99"/>
    <w:pPr>
      <w:widowControl/>
      <w:spacing w:beforeAutospacing="1" w:afterAutospacing="1"/>
    </w:pPr>
    <w:rPr>
      <w:rFonts w:cs="宋体"/>
      <w:kern w:val="0"/>
    </w:rPr>
  </w:style>
  <w:style w:type="paragraph" w:styleId="26">
    <w:name w:val="annotation subject"/>
    <w:basedOn w:val="10"/>
    <w:next w:val="10"/>
    <w:link w:val="56"/>
    <w:qFormat/>
    <w:locked/>
    <w:uiPriority w:val="0"/>
    <w:rPr>
      <w:b/>
      <w:bCs/>
      <w:kern w:val="2"/>
      <w:sz w:val="21"/>
    </w:rPr>
  </w:style>
  <w:style w:type="paragraph" w:styleId="27">
    <w:name w:val="Body Text First Indent"/>
    <w:basedOn w:val="12"/>
    <w:qFormat/>
    <w:locked/>
    <w:uiPriority w:val="99"/>
    <w:pPr>
      <w:ind w:firstLine="420" w:firstLineChars="100"/>
    </w:pPr>
  </w:style>
  <w:style w:type="table" w:styleId="29">
    <w:name w:val="Table Grid"/>
    <w:basedOn w:val="28"/>
    <w:qFormat/>
    <w:locked/>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qFormat/>
    <w:uiPriority w:val="22"/>
    <w:rPr>
      <w:rFonts w:cs="Times New Roman"/>
      <w:b/>
    </w:rPr>
  </w:style>
  <w:style w:type="character" w:styleId="32">
    <w:name w:val="page number"/>
    <w:qFormat/>
    <w:uiPriority w:val="0"/>
    <w:rPr>
      <w:rFonts w:cs="Times New Roman"/>
    </w:rPr>
  </w:style>
  <w:style w:type="character" w:styleId="33">
    <w:name w:val="FollowedHyperlink"/>
    <w:qFormat/>
    <w:locked/>
    <w:uiPriority w:val="0"/>
    <w:rPr>
      <w:color w:val="333333"/>
      <w:u w:val="none"/>
    </w:rPr>
  </w:style>
  <w:style w:type="character" w:styleId="34">
    <w:name w:val="Emphasis"/>
    <w:qFormat/>
    <w:uiPriority w:val="0"/>
  </w:style>
  <w:style w:type="character" w:styleId="35">
    <w:name w:val="HTML Typewriter"/>
    <w:qFormat/>
    <w:locked/>
    <w:uiPriority w:val="0"/>
    <w:rPr>
      <w:rFonts w:ascii="Courier New" w:hAnsi="Courier New"/>
      <w:sz w:val="20"/>
    </w:rPr>
  </w:style>
  <w:style w:type="character" w:styleId="36">
    <w:name w:val="Hyperlink"/>
    <w:basedOn w:val="30"/>
    <w:qFormat/>
    <w:uiPriority w:val="99"/>
    <w:rPr>
      <w:rFonts w:cs="Times New Roman"/>
      <w:color w:val="0000FF"/>
      <w:u w:val="single"/>
    </w:rPr>
  </w:style>
  <w:style w:type="character" w:styleId="37">
    <w:name w:val="annotation reference"/>
    <w:qFormat/>
    <w:locked/>
    <w:uiPriority w:val="0"/>
    <w:rPr>
      <w:sz w:val="21"/>
      <w:szCs w:val="21"/>
    </w:rPr>
  </w:style>
  <w:style w:type="paragraph" w:customStyle="1" w:styleId="38">
    <w:name w:val="样式 首行缩进:  2 字符"/>
    <w:basedOn w:val="1"/>
    <w:qFormat/>
    <w:uiPriority w:val="0"/>
    <w:pPr>
      <w:spacing w:line="400" w:lineRule="exact"/>
      <w:ind w:firstLine="200" w:firstLineChars="200"/>
    </w:pPr>
    <w:rPr>
      <w:rFonts w:cs="宋体"/>
    </w:rPr>
  </w:style>
  <w:style w:type="character" w:customStyle="1" w:styleId="39">
    <w:name w:val="标题 1 字符"/>
    <w:link w:val="2"/>
    <w:qFormat/>
    <w:locked/>
    <w:uiPriority w:val="0"/>
    <w:rPr>
      <w:rFonts w:ascii="Calibri" w:hAnsi="Calibri" w:eastAsia="宋体" w:cs="Times New Roman"/>
      <w:b/>
      <w:bCs/>
      <w:kern w:val="44"/>
      <w:sz w:val="32"/>
      <w:szCs w:val="44"/>
    </w:rPr>
  </w:style>
  <w:style w:type="character" w:customStyle="1" w:styleId="40">
    <w:name w:val="标题 2 字符"/>
    <w:link w:val="3"/>
    <w:qFormat/>
    <w:locked/>
    <w:uiPriority w:val="0"/>
    <w:rPr>
      <w:rFonts w:ascii="Cambria" w:hAnsi="Cambria" w:eastAsia="宋体"/>
      <w:b/>
      <w:bCs/>
      <w:sz w:val="28"/>
      <w:szCs w:val="32"/>
    </w:rPr>
  </w:style>
  <w:style w:type="character" w:customStyle="1" w:styleId="41">
    <w:name w:val="标题 3 字符"/>
    <w:link w:val="4"/>
    <w:qFormat/>
    <w:locked/>
    <w:uiPriority w:val="0"/>
    <w:rPr>
      <w:rFonts w:cs="Times New Roman"/>
      <w:b/>
      <w:bCs/>
      <w:sz w:val="24"/>
      <w:szCs w:val="32"/>
    </w:rPr>
  </w:style>
  <w:style w:type="character" w:customStyle="1" w:styleId="42">
    <w:name w:val="标题 5 字符"/>
    <w:link w:val="6"/>
    <w:qFormat/>
    <w:uiPriority w:val="0"/>
    <w:rPr>
      <w:b/>
      <w:bCs/>
      <w:kern w:val="2"/>
      <w:sz w:val="28"/>
      <w:szCs w:val="28"/>
    </w:rPr>
  </w:style>
  <w:style w:type="character" w:customStyle="1" w:styleId="43">
    <w:name w:val="标题 6 字符"/>
    <w:link w:val="7"/>
    <w:qFormat/>
    <w:uiPriority w:val="0"/>
    <w:rPr>
      <w:rFonts w:ascii="Cambria" w:hAnsi="Cambria" w:eastAsia="宋体" w:cs="Times New Roman"/>
      <w:b/>
      <w:bCs/>
      <w:kern w:val="2"/>
      <w:sz w:val="24"/>
      <w:szCs w:val="24"/>
    </w:rPr>
  </w:style>
  <w:style w:type="character" w:customStyle="1" w:styleId="44">
    <w:name w:val="正文缩进 字符"/>
    <w:link w:val="8"/>
    <w:qFormat/>
    <w:uiPriority w:val="0"/>
    <w:rPr>
      <w:kern w:val="2"/>
      <w:sz w:val="21"/>
      <w:szCs w:val="24"/>
    </w:rPr>
  </w:style>
  <w:style w:type="character" w:customStyle="1" w:styleId="45">
    <w:name w:val="文档结构图 字符"/>
    <w:link w:val="9"/>
    <w:qFormat/>
    <w:locked/>
    <w:uiPriority w:val="0"/>
    <w:rPr>
      <w:rFonts w:eastAsia="宋体" w:cs="Times New Roman"/>
      <w:sz w:val="21"/>
      <w:lang w:val="en-US" w:eastAsia="zh-CN" w:bidi="ar-SA"/>
    </w:rPr>
  </w:style>
  <w:style w:type="character" w:customStyle="1" w:styleId="46">
    <w:name w:val="批注文字 字符"/>
    <w:link w:val="10"/>
    <w:qFormat/>
    <w:locked/>
    <w:uiPriority w:val="0"/>
    <w:rPr>
      <w:rFonts w:cs="Times New Roman"/>
      <w:sz w:val="24"/>
      <w:szCs w:val="24"/>
    </w:rPr>
  </w:style>
  <w:style w:type="character" w:customStyle="1" w:styleId="47">
    <w:name w:val="正文文本 3 字符"/>
    <w:link w:val="11"/>
    <w:qFormat/>
    <w:uiPriority w:val="0"/>
    <w:rPr>
      <w:rFonts w:eastAsia="宋体" w:cs="Times New Roman"/>
      <w:sz w:val="16"/>
      <w:szCs w:val="16"/>
    </w:rPr>
  </w:style>
  <w:style w:type="character" w:customStyle="1" w:styleId="48">
    <w:name w:val="正文文本 字符"/>
    <w:link w:val="12"/>
    <w:qFormat/>
    <w:locked/>
    <w:uiPriority w:val="0"/>
    <w:rPr>
      <w:rFonts w:cs="Times New Roman"/>
      <w:sz w:val="24"/>
      <w:szCs w:val="24"/>
    </w:rPr>
  </w:style>
  <w:style w:type="character" w:customStyle="1" w:styleId="49">
    <w:name w:val="正文文本缩进 字符"/>
    <w:link w:val="13"/>
    <w:semiHidden/>
    <w:qFormat/>
    <w:locked/>
    <w:uiPriority w:val="0"/>
    <w:rPr>
      <w:rFonts w:cs="Times New Roman"/>
      <w:sz w:val="24"/>
      <w:szCs w:val="24"/>
    </w:rPr>
  </w:style>
  <w:style w:type="character" w:customStyle="1" w:styleId="50">
    <w:name w:val="正文文本首行缩进 2 字符"/>
    <w:link w:val="14"/>
    <w:qFormat/>
    <w:uiPriority w:val="0"/>
    <w:rPr>
      <w:sz w:val="21"/>
      <w:szCs w:val="24"/>
    </w:rPr>
  </w:style>
  <w:style w:type="character" w:customStyle="1" w:styleId="51">
    <w:name w:val="纯文本 字符"/>
    <w:link w:val="15"/>
    <w:qFormat/>
    <w:locked/>
    <w:uiPriority w:val="0"/>
    <w:rPr>
      <w:rFonts w:ascii="宋体" w:hAnsi="Courier New" w:cs="Courier New"/>
      <w:sz w:val="21"/>
      <w:szCs w:val="21"/>
    </w:rPr>
  </w:style>
  <w:style w:type="character" w:customStyle="1" w:styleId="52">
    <w:name w:val="日期 字符"/>
    <w:link w:val="16"/>
    <w:semiHidden/>
    <w:qFormat/>
    <w:locked/>
    <w:uiPriority w:val="0"/>
    <w:rPr>
      <w:rFonts w:ascii="Times New Roman" w:hAnsi="Times New Roman" w:eastAsia="宋体" w:cs="Times New Roman"/>
      <w:sz w:val="24"/>
      <w:szCs w:val="24"/>
    </w:rPr>
  </w:style>
  <w:style w:type="character" w:customStyle="1" w:styleId="53">
    <w:name w:val="批注框文本 字符"/>
    <w:link w:val="17"/>
    <w:semiHidden/>
    <w:qFormat/>
    <w:locked/>
    <w:uiPriority w:val="0"/>
    <w:rPr>
      <w:rFonts w:ascii="Times New Roman" w:hAnsi="Times New Roman" w:eastAsia="宋体" w:cs="Times New Roman"/>
      <w:kern w:val="2"/>
      <w:sz w:val="18"/>
      <w:szCs w:val="18"/>
    </w:rPr>
  </w:style>
  <w:style w:type="character" w:customStyle="1" w:styleId="54">
    <w:name w:val="页脚 字符"/>
    <w:link w:val="18"/>
    <w:qFormat/>
    <w:locked/>
    <w:uiPriority w:val="99"/>
    <w:rPr>
      <w:rFonts w:cs="Times New Roman"/>
      <w:sz w:val="18"/>
      <w:szCs w:val="18"/>
    </w:rPr>
  </w:style>
  <w:style w:type="character" w:customStyle="1" w:styleId="55">
    <w:name w:val="页眉 字符"/>
    <w:link w:val="19"/>
    <w:qFormat/>
    <w:locked/>
    <w:uiPriority w:val="99"/>
    <w:rPr>
      <w:rFonts w:cs="Times New Roman"/>
      <w:sz w:val="18"/>
      <w:szCs w:val="18"/>
    </w:rPr>
  </w:style>
  <w:style w:type="character" w:customStyle="1" w:styleId="56">
    <w:name w:val="批注主题 字符"/>
    <w:link w:val="26"/>
    <w:qFormat/>
    <w:uiPriority w:val="0"/>
    <w:rPr>
      <w:rFonts w:cs="Times New Roman"/>
      <w:b/>
      <w:bCs/>
      <w:kern w:val="2"/>
      <w:sz w:val="21"/>
      <w:szCs w:val="24"/>
    </w:rPr>
  </w:style>
  <w:style w:type="paragraph" w:customStyle="1" w:styleId="57">
    <w:name w:val="Heading2"/>
    <w:basedOn w:val="1"/>
    <w:next w:val="1"/>
    <w:qFormat/>
    <w:uiPriority w:val="0"/>
    <w:pPr>
      <w:spacing w:before="100" w:beforeAutospacing="1" w:after="100" w:afterAutospacing="1"/>
    </w:pPr>
    <w:rPr>
      <w:b/>
      <w:kern w:val="0"/>
      <w:sz w:val="36"/>
      <w:szCs w:val="36"/>
    </w:rPr>
  </w:style>
  <w:style w:type="character" w:customStyle="1" w:styleId="58">
    <w:name w:val="normal__char1"/>
    <w:qFormat/>
    <w:uiPriority w:val="0"/>
    <w:rPr>
      <w:rFonts w:ascii="Times New Roman" w:hAnsi="Times New Roman" w:eastAsia="宋体"/>
      <w:kern w:val="44"/>
      <w:sz w:val="20"/>
      <w:lang w:val="en-US" w:eastAsia="zh-CN"/>
    </w:rPr>
  </w:style>
  <w:style w:type="character" w:customStyle="1" w:styleId="59">
    <w:name w:val="页眉 Char1"/>
    <w:semiHidden/>
    <w:qFormat/>
    <w:locked/>
    <w:uiPriority w:val="99"/>
    <w:rPr>
      <w:rFonts w:ascii="Times New Roman" w:hAnsi="Times New Roman" w:eastAsia="宋体" w:cs="Times New Roman"/>
      <w:kern w:val="0"/>
      <w:sz w:val="18"/>
      <w:szCs w:val="18"/>
    </w:rPr>
  </w:style>
  <w:style w:type="character" w:customStyle="1" w:styleId="60">
    <w:name w:val="Heading 1 Char1"/>
    <w:qFormat/>
    <w:locked/>
    <w:uiPriority w:val="0"/>
    <w:rPr>
      <w:rFonts w:eastAsia="宋体" w:cs="Times New Roman"/>
      <w:b/>
      <w:bCs/>
      <w:kern w:val="44"/>
      <w:sz w:val="44"/>
      <w:szCs w:val="44"/>
      <w:lang w:val="en-US" w:eastAsia="zh-CN" w:bidi="ar-SA"/>
    </w:rPr>
  </w:style>
  <w:style w:type="character" w:customStyle="1" w:styleId="61">
    <w:name w:val="批注引用1"/>
    <w:qFormat/>
    <w:uiPriority w:val="0"/>
    <w:rPr>
      <w:sz w:val="21"/>
      <w:szCs w:val="21"/>
    </w:rPr>
  </w:style>
  <w:style w:type="character" w:customStyle="1" w:styleId="62">
    <w:name w:val="hui1"/>
    <w:qFormat/>
    <w:uiPriority w:val="0"/>
    <w:rPr>
      <w:color w:val="999999"/>
    </w:rPr>
  </w:style>
  <w:style w:type="character" w:customStyle="1" w:styleId="63">
    <w:name w:val="标题 1 Char"/>
    <w:qFormat/>
    <w:uiPriority w:val="0"/>
    <w:rPr>
      <w:rFonts w:ascii="Arial" w:hAnsi="Arial" w:eastAsia="宋体"/>
      <w:kern w:val="32"/>
      <w:sz w:val="32"/>
      <w:lang w:val="en-US" w:eastAsia="zh-CN"/>
    </w:rPr>
  </w:style>
  <w:style w:type="character" w:customStyle="1" w:styleId="64">
    <w:name w:val="apple-converted-space"/>
    <w:qFormat/>
    <w:uiPriority w:val="0"/>
  </w:style>
  <w:style w:type="character" w:customStyle="1" w:styleId="65">
    <w:name w:val="hui"/>
    <w:qFormat/>
    <w:uiPriority w:val="0"/>
    <w:rPr>
      <w:color w:val="999999"/>
    </w:rPr>
  </w:style>
  <w:style w:type="character" w:customStyle="1" w:styleId="66">
    <w:name w:val="bord3"/>
    <w:qFormat/>
    <w:uiPriority w:val="0"/>
  </w:style>
  <w:style w:type="character" w:customStyle="1" w:styleId="67">
    <w:name w:val="投标文件 正文首行缩进 Char"/>
    <w:link w:val="68"/>
    <w:qFormat/>
    <w:uiPriority w:val="0"/>
    <w:rPr>
      <w:rFonts w:ascii="Arial" w:hAnsi="Arial"/>
      <w:kern w:val="2"/>
      <w:sz w:val="21"/>
      <w:szCs w:val="24"/>
    </w:rPr>
  </w:style>
  <w:style w:type="paragraph" w:customStyle="1" w:styleId="68">
    <w:name w:val="投标文件 正文首行缩进"/>
    <w:basedOn w:val="14"/>
    <w:link w:val="67"/>
    <w:qFormat/>
    <w:uiPriority w:val="0"/>
    <w:pPr>
      <w:spacing w:after="220" w:line="360" w:lineRule="auto"/>
      <w:ind w:left="0" w:leftChars="0" w:firstLine="200"/>
      <w:jc w:val="both"/>
    </w:pPr>
    <w:rPr>
      <w:rFonts w:ascii="Arial" w:hAnsi="Arial"/>
      <w:kern w:val="2"/>
    </w:rPr>
  </w:style>
  <w:style w:type="paragraph" w:customStyle="1" w:styleId="69">
    <w:name w:val="p0"/>
    <w:basedOn w:val="1"/>
    <w:qFormat/>
    <w:uiPriority w:val="0"/>
    <w:pPr>
      <w:widowControl/>
    </w:pPr>
    <w:rPr>
      <w:kern w:val="0"/>
      <w:szCs w:val="21"/>
    </w:rPr>
  </w:style>
  <w:style w:type="paragraph" w:customStyle="1" w:styleId="70">
    <w:name w:val="reader-word-layer"/>
    <w:basedOn w:val="1"/>
    <w:qFormat/>
    <w:uiPriority w:val="0"/>
    <w:pPr>
      <w:widowControl/>
      <w:spacing w:before="100" w:beforeAutospacing="1" w:after="100" w:afterAutospacing="1"/>
    </w:pPr>
    <w:rPr>
      <w:rFonts w:cs="宋体"/>
      <w:kern w:val="0"/>
    </w:rPr>
  </w:style>
  <w:style w:type="paragraph" w:customStyle="1" w:styleId="71">
    <w:name w:val="WPSOffice手动目录 1"/>
    <w:qFormat/>
    <w:uiPriority w:val="0"/>
    <w:rPr>
      <w:rFonts w:ascii="Times New Roman" w:hAnsi="Times New Roman" w:eastAsia="宋体" w:cs="Times New Roman"/>
      <w:lang w:val="en-US" w:eastAsia="zh-CN" w:bidi="ar-SA"/>
    </w:rPr>
  </w:style>
  <w:style w:type="paragraph" w:styleId="72">
    <w:name w:val="No Spacing"/>
    <w:qFormat/>
    <w:uiPriority w:val="1"/>
    <w:pPr>
      <w:widowControl w:val="0"/>
      <w:jc w:val="both"/>
    </w:pPr>
    <w:rPr>
      <w:rFonts w:ascii="Times New Roman" w:hAnsi="Times New Roman" w:eastAsia="宋体" w:cs="Times New Roman"/>
      <w:kern w:val="2"/>
      <w:sz w:val="21"/>
      <w:szCs w:val="22"/>
      <w:lang w:val="en-US" w:eastAsia="zh-CN" w:bidi="ar-SA"/>
    </w:rPr>
  </w:style>
  <w:style w:type="paragraph" w:customStyle="1" w:styleId="73">
    <w:name w:val="Char5 Char Char Char"/>
    <w:basedOn w:val="9"/>
    <w:qFormat/>
    <w:uiPriority w:val="0"/>
    <w:pPr>
      <w:widowControl w:val="0"/>
      <w:jc w:val="both"/>
    </w:pPr>
    <w:rPr>
      <w:rFonts w:ascii="Tahoma" w:hAnsi="Tahoma"/>
      <w:kern w:val="2"/>
      <w:sz w:val="24"/>
      <w:szCs w:val="24"/>
    </w:rPr>
  </w:style>
  <w:style w:type="paragraph" w:styleId="74">
    <w:name w:val="List Paragraph"/>
    <w:basedOn w:val="1"/>
    <w:qFormat/>
    <w:uiPriority w:val="34"/>
    <w:pPr>
      <w:ind w:firstLine="420" w:firstLineChars="200"/>
    </w:pPr>
    <w:rPr>
      <w:rFonts w:ascii="Calibri" w:hAnsi="Calibri"/>
      <w:szCs w:val="22"/>
    </w:rPr>
  </w:style>
  <w:style w:type="paragraph" w:customStyle="1" w:styleId="75">
    <w:name w:val="样式 正文（首行缩进两字） + 宋体 小四"/>
    <w:basedOn w:val="8"/>
    <w:qFormat/>
    <w:uiPriority w:val="0"/>
    <w:pPr>
      <w:spacing w:before="0" w:line="100" w:lineRule="atLeast"/>
      <w:ind w:firstLine="614" w:firstLineChars="192"/>
    </w:pPr>
    <w:rPr>
      <w:rFonts w:ascii="仿宋_GB2312" w:eastAsia="仿宋_GB2312"/>
      <w:sz w:val="32"/>
      <w:szCs w:val="20"/>
    </w:rPr>
  </w:style>
  <w:style w:type="paragraph" w:customStyle="1" w:styleId="76">
    <w:name w:val="a"/>
    <w:basedOn w:val="1"/>
    <w:qFormat/>
    <w:uiPriority w:val="0"/>
    <w:pPr>
      <w:widowControl/>
    </w:pPr>
    <w:rPr>
      <w:rFonts w:cs="宋体"/>
      <w:kern w:val="0"/>
    </w:rPr>
  </w:style>
  <w:style w:type="paragraph" w:customStyle="1" w:styleId="77">
    <w:name w:val="*正文"/>
    <w:basedOn w:val="1"/>
    <w:qFormat/>
    <w:uiPriority w:val="0"/>
    <w:pPr>
      <w:ind w:firstLine="480" w:firstLineChars="200"/>
      <w:jc w:val="both"/>
    </w:pPr>
  </w:style>
  <w:style w:type="paragraph" w:customStyle="1" w:styleId="78">
    <w:name w:val="表格文字"/>
    <w:basedOn w:val="1"/>
    <w:qFormat/>
    <w:uiPriority w:val="0"/>
    <w:pPr>
      <w:spacing w:before="25" w:after="25"/>
    </w:pPr>
    <w:rPr>
      <w:bCs/>
      <w:spacing w:val="10"/>
      <w:kern w:val="0"/>
      <w:szCs w:val="20"/>
    </w:rPr>
  </w:style>
  <w:style w:type="paragraph" w:customStyle="1" w:styleId="79">
    <w:name w:val="_Style 1"/>
    <w:basedOn w:val="1"/>
    <w:qFormat/>
    <w:uiPriority w:val="0"/>
    <w:pPr>
      <w:ind w:firstLine="420" w:firstLineChars="200"/>
    </w:pPr>
    <w:rPr>
      <w:rFonts w:ascii="Calibri" w:hAnsi="Calibri"/>
      <w:szCs w:val="22"/>
    </w:rPr>
  </w:style>
  <w:style w:type="paragraph" w:customStyle="1" w:styleId="80">
    <w:name w:val="正文1"/>
    <w:basedOn w:val="1"/>
    <w:qFormat/>
    <w:uiPriority w:val="0"/>
    <w:pPr>
      <w:widowControl/>
    </w:pPr>
    <w:rPr>
      <w:kern w:val="0"/>
      <w:sz w:val="20"/>
      <w:szCs w:val="20"/>
    </w:rPr>
  </w:style>
  <w:style w:type="paragraph" w:customStyle="1" w:styleId="81">
    <w:name w:val="正文23"/>
    <w:basedOn w:val="1"/>
    <w:qFormat/>
    <w:uiPriority w:val="0"/>
    <w:pPr>
      <w:adjustRightInd w:val="0"/>
      <w:spacing w:after="120" w:line="320" w:lineRule="atLeast"/>
      <w:textAlignment w:val="baseline"/>
    </w:pPr>
    <w:rPr>
      <w:kern w:val="0"/>
      <w:szCs w:val="20"/>
    </w:rPr>
  </w:style>
  <w:style w:type="paragraph" w:customStyle="1" w:styleId="82">
    <w:name w:val="样式1"/>
    <w:basedOn w:val="1"/>
    <w:qFormat/>
    <w:uiPriority w:val="0"/>
    <w:pPr>
      <w:numPr>
        <w:ilvl w:val="0"/>
        <w:numId w:val="1"/>
      </w:numPr>
      <w:adjustRightInd w:val="0"/>
      <w:jc w:val="both"/>
      <w:textAlignment w:val="baseline"/>
    </w:pPr>
    <w:rPr>
      <w:szCs w:val="21"/>
    </w:rPr>
  </w:style>
  <w:style w:type="paragraph" w:customStyle="1" w:styleId="83">
    <w:name w:val="正文(悬挂缩进)"/>
    <w:qFormat/>
    <w:uiPriority w:val="99"/>
    <w:pPr>
      <w:spacing w:line="420" w:lineRule="atLeast"/>
      <w:ind w:left="300" w:leftChars="200" w:hanging="100" w:hangingChars="100"/>
    </w:pPr>
    <w:rPr>
      <w:rFonts w:ascii="Times New Roman" w:hAnsi="Times New Roman" w:eastAsia="仿宋_GB2312" w:cs="Times New Roman"/>
      <w:color w:val="000000"/>
      <w:spacing w:val="2"/>
      <w:kern w:val="24"/>
      <w:sz w:val="24"/>
      <w:lang w:val="en-US" w:eastAsia="zh-CN" w:bidi="ar-SA"/>
    </w:rPr>
  </w:style>
  <w:style w:type="paragraph" w:customStyle="1" w:styleId="84">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85">
    <w:name w:val="列出段落2"/>
    <w:basedOn w:val="1"/>
    <w:qFormat/>
    <w:uiPriority w:val="34"/>
    <w:pPr>
      <w:ind w:firstLine="420" w:firstLineChars="200"/>
      <w:jc w:val="both"/>
    </w:pPr>
  </w:style>
  <w:style w:type="paragraph" w:customStyle="1" w:styleId="86">
    <w:name w:val="段标题1"/>
    <w:basedOn w:val="1"/>
    <w:qFormat/>
    <w:uiPriority w:val="0"/>
    <w:pPr>
      <w:tabs>
        <w:tab w:val="left" w:pos="420"/>
        <w:tab w:val="left" w:pos="1080"/>
      </w:tabs>
      <w:adjustRightInd w:val="0"/>
      <w:snapToGrid w:val="0"/>
      <w:spacing w:line="480" w:lineRule="auto"/>
      <w:ind w:left="420" w:hanging="420"/>
      <w:textAlignment w:val="baseline"/>
    </w:pPr>
    <w:rPr>
      <w:szCs w:val="20"/>
    </w:rPr>
  </w:style>
  <w:style w:type="paragraph" w:customStyle="1" w:styleId="87">
    <w:name w:val="Z-正文小4号"/>
    <w:basedOn w:val="1"/>
    <w:qFormat/>
    <w:uiPriority w:val="0"/>
    <w:pPr>
      <w:ind w:firstLine="480" w:firstLineChars="200"/>
    </w:pPr>
    <w:rPr>
      <w:lang w:val="zh-CN"/>
    </w:rPr>
  </w:style>
  <w:style w:type="paragraph" w:customStyle="1" w:styleId="88">
    <w:name w:val="_Style 85"/>
    <w:unhideWhenUsed/>
    <w:qFormat/>
    <w:uiPriority w:val="99"/>
    <w:rPr>
      <w:rFonts w:ascii="Times New Roman" w:hAnsi="Times New Roman" w:eastAsia="宋体" w:cs="Times New Roman"/>
      <w:kern w:val="2"/>
      <w:sz w:val="24"/>
      <w:szCs w:val="24"/>
      <w:lang w:val="en-US" w:eastAsia="zh-CN" w:bidi="ar-SA"/>
    </w:rPr>
  </w:style>
  <w:style w:type="paragraph" w:customStyle="1" w:styleId="89">
    <w:name w:val="p15"/>
    <w:basedOn w:val="1"/>
    <w:qFormat/>
    <w:uiPriority w:val="0"/>
    <w:pPr>
      <w:widowControl/>
    </w:pPr>
    <w:rPr>
      <w:rFonts w:ascii="Times New Roman" w:hAnsi="Times New Roman"/>
      <w:kern w:val="0"/>
      <w:szCs w:val="21"/>
    </w:rPr>
  </w:style>
  <w:style w:type="character" w:customStyle="1" w:styleId="90">
    <w:name w:val="NormalCharacter"/>
    <w:semiHidden/>
    <w:qFormat/>
    <w:uiPriority w:val="0"/>
  </w:style>
  <w:style w:type="paragraph" w:customStyle="1" w:styleId="91">
    <w:name w:val="BodyText"/>
    <w:basedOn w:val="1"/>
    <w:next w:val="1"/>
    <w:qFormat/>
    <w:uiPriority w:val="0"/>
    <w:pPr>
      <w:spacing w:after="120"/>
      <w:textAlignment w:val="baseline"/>
    </w:pPr>
    <w:rPr>
      <w:kern w:val="0"/>
    </w:rPr>
  </w:style>
  <w:style w:type="table" w:customStyle="1" w:styleId="92">
    <w:name w:val="Table Normal"/>
    <w:unhideWhenUsed/>
    <w:qFormat/>
    <w:uiPriority w:val="0"/>
    <w:tblPr>
      <w:tblCellMar>
        <w:top w:w="0" w:type="dxa"/>
        <w:left w:w="0" w:type="dxa"/>
        <w:bottom w:w="0" w:type="dxa"/>
        <w:right w:w="0" w:type="dxa"/>
      </w:tblCellMar>
    </w:tblPr>
  </w:style>
  <w:style w:type="paragraph" w:customStyle="1" w:styleId="93">
    <w:name w:val="正文_0_0"/>
    <w:qFormat/>
    <w:uiPriority w:val="0"/>
    <w:pPr>
      <w:spacing w:after="200" w:line="276" w:lineRule="auto"/>
    </w:pPr>
    <w:rPr>
      <w:rFonts w:ascii="Times New Roman" w:hAnsi="Times New Roman" w:eastAsia="宋体" w:cs="Times New Roman"/>
      <w:sz w:val="21"/>
      <w:lang w:val="en-US" w:eastAsia="zh-CN" w:bidi="ar-SA"/>
    </w:rPr>
  </w:style>
  <w:style w:type="paragraph" w:customStyle="1" w:styleId="94">
    <w:name w:val="正文_0_1"/>
    <w:qFormat/>
    <w:uiPriority w:val="0"/>
    <w:pPr>
      <w:spacing w:after="200" w:line="276" w:lineRule="auto"/>
    </w:pPr>
    <w:rPr>
      <w:rFonts w:ascii="Times New Roman" w:hAnsi="Times New Roman" w:eastAsia="宋体" w:cs="Times New Roman"/>
      <w:sz w:val="21"/>
      <w:lang w:val="en-US" w:eastAsia="zh-CN" w:bidi="ar-SA"/>
    </w:rPr>
  </w:style>
  <w:style w:type="paragraph" w:customStyle="1" w:styleId="95">
    <w:name w:val="List Paragraph1"/>
    <w:basedOn w:val="1"/>
    <w:qFormat/>
    <w:uiPriority w:val="0"/>
    <w:pPr>
      <w:ind w:firstLine="420" w:firstLineChars="200"/>
    </w:pPr>
    <w:rPr>
      <w:szCs w:val="22"/>
    </w:rPr>
  </w:style>
  <w:style w:type="paragraph" w:customStyle="1" w:styleId="96">
    <w:name w:val="列出段落1"/>
    <w:basedOn w:val="1"/>
    <w:qFormat/>
    <w:uiPriority w:val="0"/>
    <w:pPr>
      <w:ind w:firstLine="420" w:firstLineChars="200"/>
    </w:pPr>
  </w:style>
  <w:style w:type="paragraph" w:customStyle="1" w:styleId="97">
    <w:name w:val="图例"/>
    <w:basedOn w:val="1"/>
    <w:qFormat/>
    <w:uiPriority w:val="0"/>
    <w:pPr>
      <w:spacing w:before="120" w:after="120"/>
      <w:jc w:val="center"/>
    </w:pPr>
    <w:rPr>
      <w:rFonts w:ascii="Times New Roman" w:hAnsi="Times New Roman" w:eastAsia="仿宋_GB2312"/>
      <w:b/>
      <w:szCs w:val="20"/>
    </w:rPr>
  </w:style>
  <w:style w:type="character" w:styleId="98">
    <w:name w:val="Placeholder Text"/>
    <w:basedOn w:val="30"/>
    <w:unhideWhenUsed/>
    <w:qFormat/>
    <w:uiPriority w:val="99"/>
    <w:rPr>
      <w:color w:val="808080"/>
    </w:rPr>
  </w:style>
  <w:style w:type="paragraph" w:customStyle="1" w:styleId="99">
    <w:name w:val="修订1"/>
    <w:hidden/>
    <w:unhideWhenUsed/>
    <w:qFormat/>
    <w:uiPriority w:val="99"/>
    <w:rPr>
      <w:rFonts w:ascii="宋体" w:hAnsi="宋体" w:eastAsia="宋体" w:cs="Times New Roman"/>
      <w:kern w:val="2"/>
      <w:sz w:val="24"/>
      <w:szCs w:val="24"/>
      <w:lang w:val="en-US" w:eastAsia="zh-CN" w:bidi="ar-SA"/>
    </w:rPr>
  </w:style>
  <w:style w:type="paragraph" w:customStyle="1" w:styleId="100">
    <w:name w:val="null3"/>
    <w:hidden/>
    <w:qFormat/>
    <w:uiPriority w:val="0"/>
    <w:rPr>
      <w:rFonts w:hint="eastAsia" w:asciiTheme="minorHAnsi" w:hAnsiTheme="minorHAnsi" w:eastAsiaTheme="minorEastAsia" w:cstheme="minorBidi"/>
      <w:lang w:val="en-US" w:eastAsia="zh-Hans" w:bidi="ar-SA"/>
    </w:rPr>
  </w:style>
  <w:style w:type="paragraph" w:customStyle="1" w:styleId="101">
    <w:name w:val="msonormal"/>
    <w:basedOn w:val="1"/>
    <w:qFormat/>
    <w:uiPriority w:val="0"/>
    <w:pPr>
      <w:widowControl/>
      <w:spacing w:before="100" w:beforeAutospacing="1" w:after="100" w:afterAutospacing="1" w:line="240" w:lineRule="auto"/>
    </w:pPr>
    <w:rPr>
      <w:rFonts w:cs="宋体"/>
      <w:kern w:val="0"/>
    </w:rPr>
  </w:style>
  <w:style w:type="paragraph" w:customStyle="1" w:styleId="102">
    <w:name w:val="font0"/>
    <w:basedOn w:val="1"/>
    <w:qFormat/>
    <w:uiPriority w:val="0"/>
    <w:pPr>
      <w:widowControl/>
      <w:spacing w:before="100" w:beforeAutospacing="1" w:after="100" w:afterAutospacing="1" w:line="240" w:lineRule="auto"/>
    </w:pPr>
    <w:rPr>
      <w:rFonts w:cs="宋体"/>
      <w:color w:val="000000"/>
      <w:kern w:val="0"/>
      <w:sz w:val="22"/>
      <w:szCs w:val="22"/>
    </w:rPr>
  </w:style>
  <w:style w:type="paragraph" w:customStyle="1" w:styleId="103">
    <w:name w:val="font1"/>
    <w:basedOn w:val="1"/>
    <w:qFormat/>
    <w:uiPriority w:val="0"/>
    <w:pPr>
      <w:widowControl/>
      <w:spacing w:before="100" w:beforeAutospacing="1" w:after="100" w:afterAutospacing="1" w:line="240" w:lineRule="auto"/>
    </w:pPr>
    <w:rPr>
      <w:rFonts w:cs="宋体"/>
      <w:color w:val="000000"/>
      <w:kern w:val="0"/>
    </w:rPr>
  </w:style>
  <w:style w:type="paragraph" w:customStyle="1" w:styleId="104">
    <w:name w:val="font2"/>
    <w:basedOn w:val="1"/>
    <w:qFormat/>
    <w:uiPriority w:val="0"/>
    <w:pPr>
      <w:widowControl/>
      <w:spacing w:before="100" w:beforeAutospacing="1" w:after="100" w:afterAutospacing="1" w:line="240" w:lineRule="auto"/>
    </w:pPr>
    <w:rPr>
      <w:rFonts w:cs="宋体"/>
      <w:b/>
      <w:bCs/>
      <w:color w:val="000000"/>
      <w:kern w:val="0"/>
      <w:sz w:val="28"/>
      <w:szCs w:val="28"/>
    </w:rPr>
  </w:style>
  <w:style w:type="paragraph" w:customStyle="1" w:styleId="105">
    <w:name w:val="font3"/>
    <w:basedOn w:val="1"/>
    <w:qFormat/>
    <w:uiPriority w:val="0"/>
    <w:pPr>
      <w:widowControl/>
      <w:spacing w:before="100" w:beforeAutospacing="1" w:after="100" w:afterAutospacing="1" w:line="240" w:lineRule="auto"/>
    </w:pPr>
    <w:rPr>
      <w:rFonts w:cs="宋体"/>
      <w:color w:val="000000"/>
      <w:kern w:val="0"/>
      <w:sz w:val="22"/>
      <w:szCs w:val="22"/>
    </w:rPr>
  </w:style>
  <w:style w:type="paragraph" w:customStyle="1" w:styleId="106">
    <w:name w:val="font4"/>
    <w:basedOn w:val="1"/>
    <w:qFormat/>
    <w:uiPriority w:val="0"/>
    <w:pPr>
      <w:widowControl/>
      <w:spacing w:before="100" w:beforeAutospacing="1" w:after="100" w:afterAutospacing="1" w:line="240" w:lineRule="auto"/>
    </w:pPr>
    <w:rPr>
      <w:rFonts w:cs="宋体"/>
      <w:b/>
      <w:bCs/>
      <w:color w:val="000000"/>
      <w:kern w:val="0"/>
      <w:sz w:val="18"/>
      <w:szCs w:val="18"/>
    </w:rPr>
  </w:style>
  <w:style w:type="paragraph" w:customStyle="1" w:styleId="107">
    <w:name w:val="font5"/>
    <w:basedOn w:val="1"/>
    <w:qFormat/>
    <w:uiPriority w:val="0"/>
    <w:pPr>
      <w:widowControl/>
      <w:spacing w:before="100" w:beforeAutospacing="1" w:after="100" w:afterAutospacing="1" w:line="240" w:lineRule="auto"/>
    </w:pPr>
    <w:rPr>
      <w:rFonts w:cs="宋体"/>
      <w:color w:val="000000"/>
      <w:kern w:val="0"/>
      <w:sz w:val="16"/>
      <w:szCs w:val="16"/>
    </w:rPr>
  </w:style>
  <w:style w:type="paragraph" w:customStyle="1" w:styleId="108">
    <w:name w:val="font6"/>
    <w:basedOn w:val="1"/>
    <w:qFormat/>
    <w:uiPriority w:val="0"/>
    <w:pPr>
      <w:widowControl/>
      <w:spacing w:before="100" w:beforeAutospacing="1" w:after="100" w:afterAutospacing="1" w:line="240" w:lineRule="auto"/>
    </w:pPr>
    <w:rPr>
      <w:rFonts w:cs="宋体"/>
      <w:color w:val="000000"/>
      <w:kern w:val="0"/>
      <w:sz w:val="16"/>
      <w:szCs w:val="16"/>
    </w:rPr>
  </w:style>
  <w:style w:type="paragraph" w:customStyle="1" w:styleId="109">
    <w:name w:val="font7"/>
    <w:basedOn w:val="1"/>
    <w:qFormat/>
    <w:uiPriority w:val="0"/>
    <w:pPr>
      <w:widowControl/>
      <w:spacing w:before="100" w:beforeAutospacing="1" w:after="100" w:afterAutospacing="1" w:line="240" w:lineRule="auto"/>
    </w:pPr>
    <w:rPr>
      <w:rFonts w:cs="宋体"/>
      <w:color w:val="000000"/>
      <w:kern w:val="0"/>
      <w:sz w:val="16"/>
      <w:szCs w:val="16"/>
    </w:rPr>
  </w:style>
  <w:style w:type="paragraph" w:customStyle="1" w:styleId="110">
    <w:name w:val="font8"/>
    <w:basedOn w:val="1"/>
    <w:qFormat/>
    <w:uiPriority w:val="0"/>
    <w:pPr>
      <w:widowControl/>
      <w:spacing w:before="100" w:beforeAutospacing="1" w:after="100" w:afterAutospacing="1" w:line="240" w:lineRule="auto"/>
    </w:pPr>
    <w:rPr>
      <w:rFonts w:cs="宋体"/>
      <w:b/>
      <w:bCs/>
      <w:color w:val="000000"/>
      <w:kern w:val="0"/>
      <w:sz w:val="16"/>
      <w:szCs w:val="16"/>
    </w:rPr>
  </w:style>
  <w:style w:type="paragraph" w:customStyle="1" w:styleId="111">
    <w:name w:val="font9"/>
    <w:basedOn w:val="1"/>
    <w:qFormat/>
    <w:uiPriority w:val="0"/>
    <w:pPr>
      <w:widowControl/>
      <w:spacing w:before="100" w:beforeAutospacing="1" w:after="100" w:afterAutospacing="1" w:line="240" w:lineRule="auto"/>
    </w:pPr>
    <w:rPr>
      <w:rFonts w:cs="宋体"/>
      <w:color w:val="FF0000"/>
      <w:kern w:val="0"/>
      <w:sz w:val="16"/>
      <w:szCs w:val="16"/>
    </w:rPr>
  </w:style>
  <w:style w:type="paragraph" w:customStyle="1" w:styleId="112">
    <w:name w:val="font10"/>
    <w:basedOn w:val="1"/>
    <w:qFormat/>
    <w:uiPriority w:val="0"/>
    <w:pPr>
      <w:widowControl/>
      <w:spacing w:before="100" w:beforeAutospacing="1" w:after="100" w:afterAutospacing="1" w:line="240" w:lineRule="auto"/>
    </w:pPr>
    <w:rPr>
      <w:rFonts w:cs="宋体"/>
      <w:b/>
      <w:bCs/>
      <w:color w:val="000000"/>
      <w:kern w:val="0"/>
      <w:sz w:val="16"/>
      <w:szCs w:val="16"/>
    </w:rPr>
  </w:style>
  <w:style w:type="paragraph" w:customStyle="1" w:styleId="113">
    <w:name w:val="font11"/>
    <w:basedOn w:val="1"/>
    <w:qFormat/>
    <w:uiPriority w:val="0"/>
    <w:pPr>
      <w:widowControl/>
      <w:spacing w:before="100" w:beforeAutospacing="1" w:after="100" w:afterAutospacing="1" w:line="240" w:lineRule="auto"/>
    </w:pPr>
    <w:rPr>
      <w:rFonts w:cs="宋体"/>
      <w:color w:val="000000"/>
      <w:kern w:val="0"/>
      <w:sz w:val="16"/>
      <w:szCs w:val="16"/>
    </w:rPr>
  </w:style>
  <w:style w:type="paragraph" w:customStyle="1" w:styleId="114">
    <w:name w:val="font12"/>
    <w:basedOn w:val="1"/>
    <w:qFormat/>
    <w:uiPriority w:val="0"/>
    <w:pPr>
      <w:widowControl/>
      <w:spacing w:before="100" w:beforeAutospacing="1" w:after="100" w:afterAutospacing="1" w:line="240" w:lineRule="auto"/>
    </w:pPr>
    <w:rPr>
      <w:rFonts w:cs="宋体"/>
      <w:color w:val="FF0000"/>
      <w:kern w:val="0"/>
      <w:sz w:val="16"/>
      <w:szCs w:val="16"/>
    </w:rPr>
  </w:style>
  <w:style w:type="paragraph" w:customStyle="1" w:styleId="115">
    <w:name w:val="font13"/>
    <w:basedOn w:val="1"/>
    <w:qFormat/>
    <w:uiPriority w:val="0"/>
    <w:pPr>
      <w:widowControl/>
      <w:spacing w:before="100" w:beforeAutospacing="1" w:after="100" w:afterAutospacing="1" w:line="240" w:lineRule="auto"/>
    </w:pPr>
    <w:rPr>
      <w:rFonts w:cs="宋体"/>
      <w:color w:val="00B050"/>
      <w:kern w:val="0"/>
      <w:sz w:val="16"/>
      <w:szCs w:val="16"/>
    </w:rPr>
  </w:style>
  <w:style w:type="paragraph" w:customStyle="1" w:styleId="116">
    <w:name w:val="et3"/>
    <w:basedOn w:val="1"/>
    <w:qFormat/>
    <w:uiPriority w:val="0"/>
    <w:pPr>
      <w:widowControl/>
      <w:spacing w:before="100" w:beforeAutospacing="1" w:after="100" w:afterAutospacing="1" w:line="240" w:lineRule="auto"/>
      <w:jc w:val="center"/>
    </w:pPr>
    <w:rPr>
      <w:rFonts w:cs="宋体"/>
      <w:color w:val="000000"/>
      <w:kern w:val="0"/>
    </w:rPr>
  </w:style>
  <w:style w:type="paragraph" w:customStyle="1" w:styleId="117">
    <w:name w:val="et4"/>
    <w:basedOn w:val="1"/>
    <w:qFormat/>
    <w:uiPriority w:val="0"/>
    <w:pPr>
      <w:widowControl/>
      <w:shd w:val="clear" w:color="auto" w:fill="FFFF00"/>
      <w:spacing w:before="100" w:beforeAutospacing="1" w:after="100" w:afterAutospacing="1" w:line="240" w:lineRule="auto"/>
      <w:jc w:val="center"/>
    </w:pPr>
    <w:rPr>
      <w:rFonts w:cs="宋体"/>
      <w:color w:val="000000"/>
      <w:kern w:val="0"/>
    </w:rPr>
  </w:style>
  <w:style w:type="paragraph" w:customStyle="1" w:styleId="118">
    <w:name w:val="et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b/>
      <w:bCs/>
      <w:color w:val="000000"/>
      <w:kern w:val="0"/>
      <w:sz w:val="28"/>
      <w:szCs w:val="28"/>
    </w:rPr>
  </w:style>
  <w:style w:type="paragraph" w:customStyle="1" w:styleId="119">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color w:val="000000"/>
      <w:kern w:val="0"/>
    </w:rPr>
  </w:style>
  <w:style w:type="paragraph" w:customStyle="1" w:styleId="120">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b/>
      <w:bCs/>
      <w:color w:val="000000"/>
      <w:kern w:val="0"/>
      <w:sz w:val="18"/>
      <w:szCs w:val="18"/>
    </w:rPr>
  </w:style>
  <w:style w:type="paragraph" w:customStyle="1" w:styleId="121">
    <w:name w:val="et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color w:val="000000"/>
      <w:kern w:val="0"/>
      <w:sz w:val="16"/>
      <w:szCs w:val="16"/>
    </w:rPr>
  </w:style>
  <w:style w:type="paragraph" w:customStyle="1" w:styleId="122">
    <w:name w:val="et9"/>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color w:val="000000"/>
      <w:kern w:val="0"/>
      <w:sz w:val="16"/>
      <w:szCs w:val="16"/>
    </w:rPr>
  </w:style>
  <w:style w:type="paragraph" w:customStyle="1" w:styleId="123">
    <w:name w:val="et1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kern w:val="0"/>
      <w:sz w:val="16"/>
      <w:szCs w:val="16"/>
    </w:rPr>
  </w:style>
  <w:style w:type="paragraph" w:customStyle="1" w:styleId="124">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b/>
      <w:bCs/>
      <w:color w:val="000000"/>
      <w:kern w:val="0"/>
      <w:sz w:val="16"/>
      <w:szCs w:val="16"/>
    </w:rPr>
  </w:style>
  <w:style w:type="paragraph" w:customStyle="1" w:styleId="125">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kern w:val="0"/>
      <w:sz w:val="16"/>
      <w:szCs w:val="16"/>
    </w:rPr>
  </w:style>
  <w:style w:type="paragraph" w:customStyle="1" w:styleId="126">
    <w:name w:val="et13"/>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line="240" w:lineRule="auto"/>
      <w:jc w:val="center"/>
    </w:pPr>
    <w:rPr>
      <w:rFonts w:cs="宋体"/>
      <w:color w:val="000000"/>
      <w:kern w:val="0"/>
      <w:sz w:val="16"/>
      <w:szCs w:val="16"/>
    </w:rPr>
  </w:style>
  <w:style w:type="paragraph" w:customStyle="1" w:styleId="127">
    <w:name w:val="et14"/>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line="240" w:lineRule="auto"/>
      <w:jc w:val="center"/>
    </w:pPr>
    <w:rPr>
      <w:rFonts w:cs="宋体"/>
      <w:color w:val="000000"/>
      <w:kern w:val="0"/>
      <w:sz w:val="16"/>
      <w:szCs w:val="16"/>
    </w:rPr>
  </w:style>
  <w:style w:type="paragraph" w:customStyle="1" w:styleId="128">
    <w:name w:val="et15"/>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line="240" w:lineRule="auto"/>
      <w:jc w:val="center"/>
    </w:pPr>
    <w:rPr>
      <w:rFonts w:cs="宋体"/>
      <w:kern w:val="0"/>
      <w:sz w:val="16"/>
      <w:szCs w:val="16"/>
    </w:rPr>
  </w:style>
  <w:style w:type="paragraph" w:customStyle="1" w:styleId="129">
    <w:name w:val="et1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line="240" w:lineRule="auto"/>
      <w:jc w:val="center"/>
    </w:pPr>
    <w:rPr>
      <w:rFonts w:cs="宋体"/>
      <w:kern w:val="0"/>
      <w:sz w:val="16"/>
      <w:szCs w:val="16"/>
    </w:rPr>
  </w:style>
  <w:style w:type="paragraph" w:customStyle="1" w:styleId="130">
    <w:name w:val="et1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color w:val="000000"/>
      <w:kern w:val="0"/>
      <w:sz w:val="16"/>
      <w:szCs w:val="16"/>
    </w:rPr>
  </w:style>
  <w:style w:type="paragraph" w:customStyle="1" w:styleId="131">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color w:val="000000"/>
      <w:kern w:val="0"/>
      <w:sz w:val="16"/>
      <w:szCs w:val="16"/>
    </w:rPr>
  </w:style>
  <w:style w:type="paragraph" w:customStyle="1" w:styleId="132">
    <w:name w:val="et19"/>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00"/>
      <w:spacing w:before="100" w:beforeAutospacing="1" w:after="100" w:afterAutospacing="1" w:line="240" w:lineRule="auto"/>
      <w:jc w:val="center"/>
    </w:pPr>
    <w:rPr>
      <w:rFonts w:cs="宋体"/>
      <w:color w:val="FF0000"/>
      <w:kern w:val="0"/>
      <w:sz w:val="16"/>
      <w:szCs w:val="16"/>
    </w:rPr>
  </w:style>
  <w:style w:type="paragraph" w:customStyle="1" w:styleId="133">
    <w:name w:val="et25"/>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line="240" w:lineRule="auto"/>
      <w:jc w:val="center"/>
    </w:pPr>
    <w:rPr>
      <w:rFonts w:cs="宋体"/>
      <w:b/>
      <w:bCs/>
      <w:kern w:val="0"/>
      <w:sz w:val="16"/>
      <w:szCs w:val="16"/>
    </w:rPr>
  </w:style>
  <w:style w:type="paragraph" w:customStyle="1" w:styleId="134">
    <w:name w:val="et26"/>
    <w:basedOn w:val="1"/>
    <w:qFormat/>
    <w:uiPriority w:val="0"/>
    <w:pPr>
      <w:widowControl/>
      <w:pBdr>
        <w:top w:val="single" w:color="000000" w:sz="4" w:space="0"/>
        <w:left w:val="single" w:color="000000" w:sz="4" w:space="0"/>
        <w:bottom w:val="single" w:color="000000" w:sz="4" w:space="0"/>
        <w:right w:val="single" w:color="000000" w:sz="4" w:space="0"/>
      </w:pBdr>
      <w:shd w:val="clear" w:color="auto" w:fill="FFFFFF"/>
      <w:spacing w:before="100" w:beforeAutospacing="1" w:after="100" w:afterAutospacing="1" w:line="240" w:lineRule="auto"/>
      <w:jc w:val="center"/>
    </w:pPr>
    <w:rPr>
      <w:rFonts w:cs="宋体"/>
      <w:color w:val="000000"/>
      <w:kern w:val="0"/>
      <w:sz w:val="16"/>
      <w:szCs w:val="16"/>
    </w:rPr>
  </w:style>
  <w:style w:type="character" w:customStyle="1" w:styleId="135">
    <w:name w:val="font71"/>
    <w:basedOn w:val="30"/>
    <w:qFormat/>
    <w:uiPriority w:val="0"/>
    <w:rPr>
      <w:rFonts w:hint="eastAsia" w:ascii="宋体" w:hAnsi="宋体" w:eastAsia="宋体"/>
      <w:color w:val="000000"/>
      <w:sz w:val="16"/>
      <w:szCs w:val="16"/>
      <w:u w:val="none"/>
    </w:rPr>
  </w:style>
  <w:style w:type="character" w:customStyle="1" w:styleId="136">
    <w:name w:val="font91"/>
    <w:basedOn w:val="30"/>
    <w:qFormat/>
    <w:uiPriority w:val="0"/>
    <w:rPr>
      <w:rFonts w:hint="eastAsia" w:ascii="宋体" w:hAnsi="宋体" w:eastAsia="宋体"/>
      <w:color w:val="FF0000"/>
      <w:sz w:val="16"/>
      <w:szCs w:val="16"/>
      <w:u w:val="none"/>
    </w:rPr>
  </w:style>
  <w:style w:type="character" w:customStyle="1" w:styleId="137">
    <w:name w:val="font51"/>
    <w:basedOn w:val="30"/>
    <w:qFormat/>
    <w:uiPriority w:val="0"/>
    <w:rPr>
      <w:rFonts w:hint="eastAsia" w:ascii="宋体" w:hAnsi="宋体" w:eastAsia="宋体"/>
      <w:color w:val="000000"/>
      <w:sz w:val="16"/>
      <w:szCs w:val="16"/>
      <w:u w:val="none"/>
    </w:rPr>
  </w:style>
  <w:style w:type="character" w:customStyle="1" w:styleId="138">
    <w:name w:val="font131"/>
    <w:basedOn w:val="30"/>
    <w:qFormat/>
    <w:uiPriority w:val="0"/>
    <w:rPr>
      <w:rFonts w:hint="eastAsia" w:ascii="宋体" w:hAnsi="宋体" w:eastAsia="宋体"/>
      <w:color w:val="00B050"/>
      <w:sz w:val="16"/>
      <w:szCs w:val="16"/>
      <w:u w:val="none"/>
    </w:rPr>
  </w:style>
  <w:style w:type="paragraph" w:customStyle="1" w:styleId="139">
    <w:name w:val="修订2"/>
    <w:hidden/>
    <w:unhideWhenUsed/>
    <w:qFormat/>
    <w:uiPriority w:val="99"/>
    <w:rPr>
      <w:rFonts w:ascii="宋体" w:hAnsi="宋体" w:eastAsia="宋体" w:cs="Times New Roman"/>
      <w:kern w:val="2"/>
      <w:sz w:val="24"/>
      <w:szCs w:val="24"/>
      <w:lang w:val="en-US" w:eastAsia="zh-CN" w:bidi="ar-SA"/>
    </w:rPr>
  </w:style>
  <w:style w:type="paragraph" w:customStyle="1" w:styleId="140">
    <w:name w:val="修订3"/>
    <w:hidden/>
    <w:unhideWhenUsed/>
    <w:qFormat/>
    <w:uiPriority w:val="99"/>
    <w:rPr>
      <w:rFonts w:ascii="宋体" w:hAnsi="宋体" w:eastAsia="宋体" w:cs="Times New Roman"/>
      <w:kern w:val="2"/>
      <w:sz w:val="24"/>
      <w:szCs w:val="24"/>
      <w:lang w:val="en-US" w:eastAsia="zh-CN" w:bidi="ar-SA"/>
    </w:rPr>
  </w:style>
  <w:style w:type="paragraph" w:customStyle="1" w:styleId="141">
    <w:name w:val="Revision"/>
    <w:hidden/>
    <w:unhideWhenUsed/>
    <w:qFormat/>
    <w:uiPriority w:val="99"/>
    <w:rPr>
      <w:rFonts w:ascii="宋体" w:hAnsi="宋体" w:eastAsia="宋体" w:cs="Times New Roman"/>
      <w:kern w:val="2"/>
      <w:sz w:val="24"/>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3" Type="http://schemas.openxmlformats.org/officeDocument/2006/relationships/fontTable" Target="fontTable.xml"/><Relationship Id="rId12" Type="http://schemas.openxmlformats.org/officeDocument/2006/relationships/numbering" Target="numbering.xml"/><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63</Pages>
  <Words>3956</Words>
  <Characters>4222</Characters>
  <Lines>247</Lines>
  <Paragraphs>69</Paragraphs>
  <TotalTime>286</TotalTime>
  <ScaleCrop>false</ScaleCrop>
  <LinksUpToDate>false</LinksUpToDate>
  <CharactersWithSpaces>4325</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2023-03-03T04:21:00Z</dcterms:created>
  <dc:creator>linyi</dc:creator>
  <cp:lastModifiedBy>爆炸的榴莲</cp:lastModifiedBy>
  <cp:lastPrinted>2024-07-19T15:51:00Z</cp:lastPrinted>
  <dcterms:modified xsi:type="dcterms:W3CDTF">2025-04-08T00:33:57Z</dcterms:modified>
  <cp:revision>523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297CE23B937644A0BDAA855BC5579B64_13</vt:lpwstr>
  </property>
  <property fmtid="{D5CDD505-2E9C-101B-9397-08002B2CF9AE}" pid="4" name="KSOTemplateDocerSaveRecord">
    <vt:lpwstr>eyJoZGlkIjoiZWI3YmQ5MTViNjhmZjEwYmQ2MjAwMjgzOGExOGY3MzEiLCJ1c2VySWQiOiIzODE2OTQwOTYifQ==</vt:lpwstr>
  </property>
</Properties>
</file>