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color w:val="auto"/>
          <w:highlight w:val="none"/>
        </w:rPr>
      </w:pPr>
      <w:bookmarkStart w:id="0" w:name="_Toc29247"/>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bookmarkEnd w:id="0"/>
      <w:r>
        <w:rPr>
          <w:rFonts w:hint="eastAsia" w:ascii="宋体" w:hAnsi="宋体" w:eastAsia="宋体" w:cs="宋体"/>
          <w:color w:val="auto"/>
          <w:kern w:val="0"/>
          <w:sz w:val="32"/>
          <w:highlight w:val="none"/>
          <w:lang w:val="zh-CN" w:bidi="ar"/>
        </w:rPr>
        <w:t>报价一览表</w:t>
      </w:r>
    </w:p>
    <w:p>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pPr>
              <w:widowControl/>
              <w:spacing w:line="460" w:lineRule="exact"/>
              <w:ind w:firstLine="480"/>
              <w:jc w:val="right"/>
              <w:rPr>
                <w:rFonts w:hint="eastAsia" w:ascii="宋体" w:hAnsi="宋体" w:eastAsia="宋体" w:cs="宋体"/>
                <w:bCs/>
                <w:color w:val="auto"/>
                <w:highlight w:val="none"/>
              </w:rPr>
            </w:pPr>
          </w:p>
          <w:p>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pPr>
              <w:widowControl/>
              <w:spacing w:line="460" w:lineRule="exact"/>
              <w:ind w:firstLine="480"/>
              <w:jc w:val="right"/>
              <w:rPr>
                <w:rFonts w:hint="eastAsia" w:ascii="宋体" w:hAnsi="宋体" w:eastAsia="宋体" w:cs="宋体"/>
                <w:bCs/>
                <w:color w:val="auto"/>
                <w:highlight w:val="none"/>
                <w:u w:val="single"/>
              </w:rPr>
            </w:pPr>
          </w:p>
          <w:p>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pPr>
              <w:widowControl/>
              <w:spacing w:line="460" w:lineRule="exact"/>
              <w:jc w:val="right"/>
              <w:rPr>
                <w:rFonts w:hint="eastAsia" w:ascii="宋体" w:hAnsi="宋体" w:eastAsia="宋体" w:cs="宋体"/>
                <w:bCs/>
                <w:color w:val="auto"/>
                <w:highlight w:val="none"/>
                <w:vertAlign w:val="baseline"/>
              </w:rPr>
            </w:pPr>
          </w:p>
        </w:tc>
      </w:tr>
    </w:tbl>
    <w:p>
      <w:pPr>
        <w:adjustRightInd w:val="0"/>
        <w:snapToGrid w:val="0"/>
        <w:ind w:firstLine="482"/>
        <w:rPr>
          <w:rFonts w:hint="eastAsia" w:ascii="宋体" w:hAnsi="宋体" w:eastAsia="宋体" w:cs="宋体"/>
          <w:b/>
          <w:bCs/>
          <w:color w:val="auto"/>
          <w:highlight w:val="none"/>
        </w:rPr>
      </w:pPr>
    </w:p>
    <w:p>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pPr>
        <w:widowControl/>
        <w:spacing w:line="460" w:lineRule="exact"/>
        <w:ind w:firstLine="480"/>
        <w:rPr>
          <w:rFonts w:hint="eastAsia" w:ascii="宋体" w:hAnsi="宋体" w:eastAsia="宋体" w:cs="宋体"/>
          <w:bCs/>
          <w:color w:val="auto"/>
          <w:highlight w:val="none"/>
        </w:rPr>
      </w:pPr>
    </w:p>
    <w:p>
      <w:pPr>
        <w:pStyle w:val="10"/>
        <w:rPr>
          <w:rFonts w:hint="eastAsia" w:ascii="宋体" w:hAnsi="宋体" w:eastAsia="宋体" w:cs="宋体"/>
          <w:bCs/>
          <w:color w:val="auto"/>
          <w:highlight w:val="none"/>
        </w:rPr>
      </w:pPr>
    </w:p>
    <w:p>
      <w:pPr>
        <w:pStyle w:val="3"/>
        <w:rPr>
          <w:rFonts w:hint="eastAsia" w:ascii="宋体" w:hAnsi="宋体" w:eastAsia="宋体" w:cs="宋体"/>
          <w:color w:val="auto"/>
          <w:highlight w:val="none"/>
        </w:rPr>
      </w:pPr>
    </w:p>
    <w:p>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格式2：</w:t>
      </w:r>
      <w:r>
        <w:rPr>
          <w:rFonts w:hint="eastAsia" w:ascii="宋体" w:hAnsi="宋体" w:cs="宋体"/>
          <w:b/>
          <w:bCs/>
          <w:color w:val="000000"/>
          <w:sz w:val="30"/>
          <w:szCs w:val="30"/>
        </w:rPr>
        <w:t>法人授权委托书</w:t>
      </w:r>
    </w:p>
    <w:p>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关于遴选会计师事务所开展2023年度财务报表及内控制度等审计评价工作项目</w:t>
      </w:r>
      <w:r>
        <w:rPr>
          <w:rFonts w:hint="eastAsia" w:ascii="宋体" w:hAnsi="宋体" w:cs="宋体"/>
          <w:color w:val="000000"/>
          <w:sz w:val="24"/>
          <w:lang w:val="en-GB"/>
        </w:rPr>
        <w:t>）院内</w:t>
      </w:r>
      <w:r>
        <w:rPr>
          <w:rFonts w:hint="eastAsia" w:ascii="宋体" w:hAnsi="宋体" w:cs="宋体"/>
          <w:color w:val="000000"/>
          <w:sz w:val="24"/>
          <w:lang w:val="en-US" w:eastAsia="zh-CN"/>
        </w:rPr>
        <w:t>遴选</w:t>
      </w:r>
      <w:r>
        <w:rPr>
          <w:rFonts w:hint="eastAsia" w:ascii="宋体" w:hAnsi="宋体" w:cs="宋体"/>
          <w:color w:val="000000"/>
          <w:sz w:val="24"/>
          <w:lang w:val="en-GB"/>
        </w:rPr>
        <w:t>采购活动。</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pPr>
        <w:spacing w:line="500" w:lineRule="exact"/>
        <w:ind w:firstLine="460" w:firstLineChars="192"/>
        <w:rPr>
          <w:rFonts w:ascii="宋体" w:hAnsi="宋体" w:cs="宋体"/>
          <w:color w:val="000000"/>
          <w:sz w:val="24"/>
          <w:lang w:val="en-GB"/>
        </w:rPr>
      </w:pPr>
    </w:p>
    <w:p>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pPr>
        <w:jc w:val="center"/>
        <w:rPr>
          <w:rFonts w:ascii="宋体" w:hAnsi="宋体" w:cs="宋体"/>
          <w:color w:val="000000"/>
          <w:sz w:val="24"/>
          <w:lang w:val="en-GB"/>
        </w:rPr>
      </w:pPr>
    </w:p>
    <w:p>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pPr>
        <w:rPr>
          <w:rFonts w:ascii="宋体" w:hAnsi="宋体" w:cs="宋体"/>
          <w:color w:val="000000"/>
          <w:sz w:val="24"/>
          <w:lang w:val="en-GB"/>
        </w:rPr>
      </w:pPr>
    </w:p>
    <w:p>
      <w:pPr>
        <w:jc w:val="cente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8"/>
          <w:szCs w:val="28"/>
          <w:lang w:val="en-GB"/>
        </w:rPr>
      </w:pPr>
    </w:p>
    <w:p>
      <w:pPr>
        <w:ind w:firstLine="2168" w:firstLineChars="900"/>
        <w:rPr>
          <w:rFonts w:hint="eastAsia"/>
        </w:rPr>
      </w:pPr>
      <w:r>
        <w:rPr>
          <w:rFonts w:hint="eastAsia" w:ascii="宋体" w:hAnsi="宋体" w:cs="宋体"/>
          <w:b/>
          <w:color w:val="000000"/>
          <w:sz w:val="24"/>
          <w:lang w:val="en-GB"/>
        </w:rPr>
        <w:t>注：本授权书内容不得擅自修改。</w:t>
      </w:r>
    </w:p>
    <w:p>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格式3：投标人资格承诺函</w:t>
      </w:r>
    </w:p>
    <w:p>
      <w:pPr>
        <w:rPr>
          <w:rFonts w:hint="eastAsia"/>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rPr>
        <w:t>海南省安宁医院2023年年度审计服务项目</w:t>
      </w:r>
      <w:r>
        <w:rPr>
          <w:rFonts w:hint="eastAsia"/>
          <w:sz w:val="24"/>
          <w:szCs w:val="32"/>
        </w:rPr>
        <w:t>（项目编号：</w:t>
      </w:r>
      <w:r>
        <w:rPr>
          <w:rFonts w:hint="eastAsia"/>
          <w:sz w:val="24"/>
          <w:szCs w:val="32"/>
          <w:lang w:val="en-US" w:eastAsia="zh-CN"/>
        </w:rPr>
        <w:t>HNSANYY2024015</w:t>
      </w:r>
      <w:r>
        <w:rPr>
          <w:rFonts w:hint="eastAsia"/>
          <w:sz w:val="24"/>
          <w:szCs w:val="32"/>
        </w:rPr>
        <w:t xml:space="preserve"> ）项目的采购活动，现承诺如下：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我单位具有符合《中华人民共和国政府采购法》《中华人民共和国政府采购法实施条例》及</w:t>
      </w:r>
      <w:r>
        <w:rPr>
          <w:rFonts w:hint="eastAsia"/>
          <w:sz w:val="24"/>
          <w:szCs w:val="32"/>
          <w:lang w:val="en-US" w:eastAsia="zh-CN"/>
        </w:rPr>
        <w:t>采购</w:t>
      </w:r>
      <w:r>
        <w:rPr>
          <w:rFonts w:hint="eastAsia"/>
          <w:sz w:val="24"/>
          <w:szCs w:val="32"/>
        </w:rPr>
        <w:t>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我单位具有符合《中华人民共和国政府采购法》《中华人民共和国政府采购法实施条例》及</w:t>
      </w:r>
      <w:r>
        <w:rPr>
          <w:rFonts w:hint="eastAsia"/>
          <w:sz w:val="24"/>
          <w:szCs w:val="32"/>
          <w:lang w:val="en-US" w:eastAsia="zh-CN"/>
        </w:rPr>
        <w:t>采购</w:t>
      </w:r>
      <w:r>
        <w:rPr>
          <w:rFonts w:hint="eastAsia"/>
          <w:sz w:val="24"/>
          <w:szCs w:val="32"/>
        </w:rPr>
        <w:t>文件资格要求规定的履行合同所必需的设备和专业技术能力。</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我单位具有符合《中华人民共和国政府采购法》《中华人民共和国政府采购法实施条例》及</w:t>
      </w:r>
      <w:r>
        <w:rPr>
          <w:rFonts w:hint="eastAsia"/>
          <w:sz w:val="24"/>
          <w:szCs w:val="32"/>
          <w:lang w:val="en-US" w:eastAsia="zh-CN"/>
        </w:rPr>
        <w:t>采购</w:t>
      </w:r>
      <w:r>
        <w:rPr>
          <w:rFonts w:hint="eastAsia"/>
          <w:sz w:val="24"/>
          <w:szCs w:val="32"/>
        </w:rPr>
        <w:t>文件资格要求规定的依法缴纳税收和社会保障资金的相关证明材料。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我单位符合《中华人民共和国政府采购法》《中华人民共和国政府采购法实施条例》及</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单位负责人为同一人或者高级管理人员存在直接控股、管理关系的不同供应商，不得参加同一合同项下的政府采购活动</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投标商需对本项目所提交的资料真实性负责，一旦查处违规造假将取消本项目选聘资格且两年内不得参与本院所有项目遴选资格。</w:t>
      </w:r>
    </w:p>
    <w:p>
      <w:pPr>
        <w:keepNext w:val="0"/>
        <w:keepLines w:val="0"/>
        <w:pageBreakBefore w:val="0"/>
        <w:widowControl w:val="0"/>
        <w:tabs>
          <w:tab w:val="left" w:pos="445"/>
        </w:tabs>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pPr>
        <w:pStyle w:val="7"/>
        <w:rPr>
          <w:rFonts w:hint="default"/>
          <w:lang w:val="en-US" w:eastAsia="zh-CN"/>
        </w:rPr>
      </w:pPr>
    </w:p>
    <w:p>
      <w:pPr>
        <w:pStyle w:val="2"/>
        <w:jc w:val="center"/>
        <w:rPr>
          <w:rFonts w:hint="eastAsia" w:ascii="Times New Roman" w:hAnsi="Times New Roman" w:eastAsia="宋体"/>
        </w:rPr>
      </w:pPr>
      <w:bookmarkStart w:id="1" w:name="_Toc529442058"/>
      <w:bookmarkStart w:id="2" w:name="_Toc217446090"/>
      <w:r>
        <w:rPr>
          <w:rFonts w:hint="eastAsia" w:ascii="Times New Roman" w:hAnsi="Times New Roman" w:eastAsia="宋体"/>
          <w:lang w:val="en-US" w:eastAsia="zh-CN"/>
        </w:rPr>
        <w:t>格式4：</w:t>
      </w:r>
      <w:r>
        <w:rPr>
          <w:rFonts w:hint="eastAsia" w:ascii="Times New Roman" w:hAnsi="Times New Roman" w:eastAsia="宋体"/>
        </w:rPr>
        <w:t>采购需求响应表</w:t>
      </w:r>
      <w:bookmarkEnd w:id="1"/>
      <w:bookmarkEnd w:id="2"/>
    </w:p>
    <w:p>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pPr>
              <w:pStyle w:val="14"/>
              <w:spacing w:line="360" w:lineRule="auto"/>
              <w:jc w:val="center"/>
              <w:rPr>
                <w:rFonts w:hint="eastAsia"/>
              </w:rPr>
            </w:pPr>
            <w:r>
              <w:rPr>
                <w:rFonts w:hint="eastAsia"/>
              </w:rPr>
              <w:t>序号</w:t>
            </w:r>
          </w:p>
        </w:tc>
        <w:tc>
          <w:tcPr>
            <w:tcW w:w="2308" w:type="dxa"/>
            <w:noWrap w:val="0"/>
            <w:vAlign w:val="center"/>
          </w:tcPr>
          <w:p>
            <w:pPr>
              <w:pStyle w:val="14"/>
              <w:spacing w:line="360" w:lineRule="auto"/>
              <w:jc w:val="center"/>
              <w:rPr>
                <w:rFonts w:hint="eastAsia"/>
              </w:rPr>
            </w:pPr>
            <w:r>
              <w:rPr>
                <w:rFonts w:hint="eastAsia"/>
              </w:rPr>
              <w:t>文件采购要求</w:t>
            </w:r>
          </w:p>
        </w:tc>
        <w:tc>
          <w:tcPr>
            <w:tcW w:w="2513" w:type="dxa"/>
            <w:noWrap w:val="0"/>
            <w:vAlign w:val="center"/>
          </w:tcPr>
          <w:p>
            <w:pPr>
              <w:pStyle w:val="14"/>
              <w:spacing w:line="360" w:lineRule="auto"/>
              <w:jc w:val="center"/>
              <w:rPr>
                <w:rFonts w:hint="eastAsia"/>
              </w:rPr>
            </w:pPr>
            <w:r>
              <w:rPr>
                <w:rFonts w:hint="eastAsia"/>
              </w:rPr>
              <w:t>响应文件应答情况</w:t>
            </w:r>
          </w:p>
        </w:tc>
        <w:tc>
          <w:tcPr>
            <w:tcW w:w="1754" w:type="dxa"/>
            <w:noWrap w:val="0"/>
            <w:vAlign w:val="center"/>
          </w:tcPr>
          <w:p>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pPr>
              <w:pStyle w:val="14"/>
              <w:spacing w:line="360" w:lineRule="auto"/>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bl>
    <w:p>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《采购需求》进行逐条响应，不得负偏离，并且不得仅以“满足”或“不满足”应答，否则作无效投标处理。</w:t>
      </w:r>
    </w:p>
    <w:p>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pPr>
        <w:adjustRightInd w:val="0"/>
        <w:spacing w:line="360" w:lineRule="auto"/>
        <w:jc w:val="left"/>
        <w:rPr>
          <w:rFonts w:hint="eastAsia"/>
          <w:bCs/>
          <w:sz w:val="24"/>
        </w:rPr>
      </w:pPr>
    </w:p>
    <w:p>
      <w:pPr>
        <w:adjustRightInd w:val="0"/>
        <w:spacing w:line="360" w:lineRule="auto"/>
        <w:jc w:val="left"/>
        <w:rPr>
          <w:rFonts w:hint="eastAsia"/>
          <w:bCs/>
          <w:sz w:val="24"/>
        </w:rPr>
      </w:pPr>
    </w:p>
    <w:p>
      <w:pPr>
        <w:adjustRightInd w:val="0"/>
        <w:spacing w:line="360" w:lineRule="auto"/>
        <w:jc w:val="left"/>
        <w:rPr>
          <w:rFonts w:hint="eastAsia"/>
          <w:bCs/>
          <w:sz w:val="24"/>
        </w:rPr>
      </w:pPr>
    </w:p>
    <w:p>
      <w:pPr>
        <w:adjustRightInd w:val="0"/>
        <w:spacing w:line="360" w:lineRule="auto"/>
        <w:jc w:val="left"/>
        <w:rPr>
          <w:rFonts w:hint="eastAsia"/>
          <w:bCs/>
          <w:sz w:val="24"/>
        </w:rPr>
      </w:pPr>
    </w:p>
    <w:p>
      <w:pPr>
        <w:adjustRightInd w:val="0"/>
        <w:spacing w:line="360" w:lineRule="auto"/>
        <w:jc w:val="left"/>
        <w:rPr>
          <w:rFonts w:hint="eastAsia"/>
          <w:bCs/>
          <w:sz w:val="24"/>
        </w:rPr>
      </w:pPr>
    </w:p>
    <w:p>
      <w:pPr>
        <w:adjustRightInd w:val="0"/>
        <w:spacing w:line="360" w:lineRule="auto"/>
        <w:ind w:firstLine="420" w:firstLineChars="175"/>
        <w:jc w:val="left"/>
        <w:rPr>
          <w:rFonts w:hint="eastAsia"/>
          <w:bCs/>
          <w:sz w:val="24"/>
        </w:rPr>
      </w:pPr>
    </w:p>
    <w:p>
      <w:pPr>
        <w:adjustRightInd w:val="0"/>
        <w:spacing w:line="480" w:lineRule="auto"/>
        <w:ind w:firstLine="420" w:firstLineChars="175"/>
        <w:jc w:val="left"/>
        <w:rPr>
          <w:rFonts w:hint="eastAsia"/>
          <w:bCs/>
          <w:sz w:val="24"/>
        </w:rPr>
      </w:pPr>
      <w:r>
        <w:rPr>
          <w:rFonts w:hint="eastAsia"/>
          <w:bCs/>
          <w:sz w:val="24"/>
        </w:rPr>
        <w:t>供应商名称：        （盖章）</w:t>
      </w:r>
    </w:p>
    <w:p>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pPr>
        <w:pStyle w:val="2"/>
        <w:ind w:firstLine="480" w:firstLineChars="200"/>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pPr>
        <w:rPr>
          <w:rFonts w:hint="eastAsia" w:asciiTheme="minorHAnsi" w:hAnsiTheme="minorHAnsi" w:eastAsiaTheme="minorEastAsia" w:cstheme="minorBidi"/>
          <w:b w:val="0"/>
          <w:bCs w:val="0"/>
          <w:kern w:val="2"/>
          <w:sz w:val="24"/>
          <w:szCs w:val="24"/>
          <w:lang w:val="en-US" w:eastAsia="zh-CN" w:bidi="ar-SA"/>
        </w:rPr>
      </w:pPr>
    </w:p>
    <w:p>
      <w:pPr>
        <w:pStyle w:val="7"/>
        <w:rPr>
          <w:rFonts w:hint="eastAsia" w:asciiTheme="minorHAnsi" w:hAnsiTheme="minorHAnsi" w:eastAsiaTheme="minorEastAsia" w:cstheme="minorBidi"/>
          <w:b w:val="0"/>
          <w:bCs w:val="0"/>
          <w:kern w:val="2"/>
          <w:sz w:val="24"/>
          <w:szCs w:val="24"/>
          <w:lang w:val="en-US" w:eastAsia="zh-CN" w:bidi="ar-SA"/>
        </w:rPr>
      </w:pPr>
    </w:p>
    <w:p>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格式5：</w:t>
      </w:r>
      <w:r>
        <w:rPr>
          <w:rFonts w:hint="eastAsia" w:ascii="宋体" w:hAnsi="宋体" w:eastAsia="宋体" w:cs="宋体"/>
          <w:b/>
          <w:bCs/>
          <w:color w:val="auto"/>
          <w:kern w:val="2"/>
          <w:sz w:val="28"/>
          <w:szCs w:val="32"/>
          <w:highlight w:val="none"/>
          <w:lang w:val="en-US" w:eastAsia="zh-CN" w:bidi="ar-SA"/>
        </w:rPr>
        <w:t>采购需求要求的、投标人认为有必要提供的其它资料</w:t>
      </w:r>
    </w:p>
    <w:p>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要求的、投标人认为需提供的其他资料包括：</w:t>
      </w:r>
      <w:bookmarkStart w:id="3" w:name="_GoBack"/>
      <w:bookmarkEnd w:id="3"/>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F9964CF"/>
    <w:rsid w:val="10B37DB7"/>
    <w:rsid w:val="187A3468"/>
    <w:rsid w:val="2D827C9A"/>
    <w:rsid w:val="377A1139"/>
    <w:rsid w:val="4BF448AD"/>
    <w:rsid w:val="52292722"/>
    <w:rsid w:val="63DC0140"/>
    <w:rsid w:val="68B4097D"/>
    <w:rsid w:val="7521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624"/>
    <w:pPr>
      <w:spacing w:before="0" w:after="120"/>
    </w:pPr>
    <w:rPr>
      <w:rFonts w:ascii="Times New Roman" w:hAnsi="Times New Roman" w:eastAsia="宋体" w:cs="Times New Roman"/>
    </w:rPr>
  </w:style>
  <w:style w:type="paragraph" w:styleId="4">
    <w:name w:val="Body Text First Indent"/>
    <w:basedOn w:val="3"/>
    <w:next w:val="5"/>
    <w:autoRedefine/>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2024-05-16T01:01:16Z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8272AD0B84FF4ECC8B3AD02FE7AE0352_13</vt:lpwstr>
  </property>
</Properties>
</file>