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Fonts w:hint="eastAsia" w:hAnsi="宋体"/>
          <w:b/>
          <w:color w:val="auto"/>
          <w:sz w:val="32"/>
          <w:highlight w:val="none"/>
        </w:rPr>
      </w:pPr>
      <w:r>
        <w:rPr>
          <w:rFonts w:hint="eastAsia" w:hAnsi="宋体"/>
          <w:b/>
          <w:color w:val="auto"/>
          <w:sz w:val="44"/>
          <w:szCs w:val="44"/>
          <w:highlight w:val="none"/>
          <w:lang w:eastAsia="zh-CN"/>
        </w:rPr>
        <w:t>海南省安宁医院2023年度公开招聘编内人员委托服务项目</w:t>
      </w:r>
    </w:p>
    <w:p>
      <w:pPr>
        <w:widowControl/>
        <w:autoSpaceDE w:val="0"/>
        <w:autoSpaceDN w:val="0"/>
        <w:jc w:val="center"/>
        <w:textAlignment w:val="bottom"/>
        <w:rPr>
          <w:rFonts w:hint="eastAsia" w:hAnsi="宋体"/>
          <w:b/>
          <w:color w:val="auto"/>
          <w:sz w:val="32"/>
          <w:highlight w:val="none"/>
        </w:rPr>
      </w:pPr>
    </w:p>
    <w:p>
      <w:pPr>
        <w:widowControl/>
        <w:autoSpaceDE w:val="0"/>
        <w:autoSpaceDN w:val="0"/>
        <w:jc w:val="center"/>
        <w:textAlignment w:val="bottom"/>
        <w:rPr>
          <w:rFonts w:hint="eastAsia" w:hAnsi="宋体"/>
          <w:b/>
          <w:color w:val="auto"/>
          <w:sz w:val="32"/>
          <w:highlight w:val="none"/>
        </w:rPr>
      </w:pPr>
    </w:p>
    <w:p>
      <w:pPr>
        <w:widowControl/>
        <w:autoSpaceDE w:val="0"/>
        <w:autoSpaceDN w:val="0"/>
        <w:jc w:val="center"/>
        <w:textAlignment w:val="bottom"/>
        <w:rPr>
          <w:rFonts w:hAnsi="宋体"/>
          <w:b/>
          <w:color w:val="auto"/>
          <w:sz w:val="32"/>
          <w:highlight w:val="none"/>
        </w:rPr>
      </w:pPr>
    </w:p>
    <w:p>
      <w:pPr>
        <w:widowControl/>
        <w:autoSpaceDE w:val="0"/>
        <w:autoSpaceDN w:val="0"/>
        <w:textAlignment w:val="bottom"/>
        <w:rPr>
          <w:rFonts w:hAnsi="宋体"/>
          <w:b/>
          <w:color w:val="auto"/>
          <w:sz w:val="32"/>
          <w:highlight w:val="none"/>
        </w:rPr>
      </w:pPr>
    </w:p>
    <w:p>
      <w:pPr>
        <w:widowControl/>
        <w:autoSpaceDE w:val="0"/>
        <w:autoSpaceDN w:val="0"/>
        <w:spacing w:after="120" w:afterLines="50"/>
        <w:jc w:val="center"/>
        <w:textAlignment w:val="bottom"/>
        <w:rPr>
          <w:rFonts w:hint="eastAsia" w:hAnsi="宋体"/>
          <w:b/>
          <w:color w:val="auto"/>
          <w:sz w:val="56"/>
          <w:szCs w:val="56"/>
          <w:highlight w:val="none"/>
        </w:rPr>
      </w:pPr>
    </w:p>
    <w:p>
      <w:pPr>
        <w:widowControl/>
        <w:autoSpaceDE w:val="0"/>
        <w:autoSpaceDN w:val="0"/>
        <w:spacing w:after="120" w:afterLines="50"/>
        <w:jc w:val="center"/>
        <w:textAlignment w:val="bottom"/>
        <w:rPr>
          <w:rFonts w:hint="eastAsia" w:hAnsi="宋体"/>
          <w:b/>
          <w:color w:val="auto"/>
          <w:sz w:val="56"/>
          <w:szCs w:val="56"/>
          <w:highlight w:val="none"/>
        </w:rPr>
      </w:pPr>
    </w:p>
    <w:p>
      <w:pPr>
        <w:widowControl/>
        <w:autoSpaceDE w:val="0"/>
        <w:autoSpaceDN w:val="0"/>
        <w:spacing w:after="120" w:afterLines="50"/>
        <w:jc w:val="center"/>
        <w:textAlignment w:val="bottom"/>
        <w:rPr>
          <w:rFonts w:hAnsi="宋体"/>
          <w:b/>
          <w:color w:val="auto"/>
          <w:sz w:val="72"/>
          <w:szCs w:val="72"/>
          <w:highlight w:val="none"/>
        </w:rPr>
      </w:pPr>
      <w:r>
        <w:rPr>
          <w:rFonts w:hint="eastAsia" w:hAnsi="宋体"/>
          <w:b/>
          <w:color w:val="auto"/>
          <w:sz w:val="56"/>
          <w:szCs w:val="56"/>
          <w:highlight w:val="none"/>
        </w:rPr>
        <w:t>竞争性磋商文件</w:t>
      </w:r>
    </w:p>
    <w:p>
      <w:pPr>
        <w:widowControl/>
        <w:autoSpaceDE w:val="0"/>
        <w:autoSpaceDN w:val="0"/>
        <w:spacing w:after="120" w:afterLines="50"/>
        <w:jc w:val="center"/>
        <w:textAlignment w:val="bottom"/>
        <w:rPr>
          <w:rFonts w:hAnsi="宋体"/>
          <w:b/>
          <w:color w:val="auto"/>
          <w:sz w:val="24"/>
          <w:szCs w:val="24"/>
          <w:highlight w:val="none"/>
        </w:rPr>
      </w:pPr>
    </w:p>
    <w:p>
      <w:pPr>
        <w:widowControl/>
        <w:autoSpaceDE w:val="0"/>
        <w:autoSpaceDN w:val="0"/>
        <w:spacing w:after="120" w:afterLines="50"/>
        <w:jc w:val="center"/>
        <w:textAlignment w:val="bottom"/>
        <w:rPr>
          <w:rFonts w:hAnsi="宋体"/>
          <w:b/>
          <w:color w:val="auto"/>
          <w:sz w:val="24"/>
          <w:szCs w:val="24"/>
          <w:highlight w:val="none"/>
        </w:rPr>
      </w:pPr>
    </w:p>
    <w:p>
      <w:pPr>
        <w:widowControl/>
        <w:autoSpaceDE w:val="0"/>
        <w:autoSpaceDN w:val="0"/>
        <w:spacing w:after="120" w:afterLines="50"/>
        <w:jc w:val="center"/>
        <w:textAlignment w:val="bottom"/>
        <w:rPr>
          <w:rFonts w:hint="eastAsia" w:hAnsi="宋体"/>
          <w:b/>
          <w:color w:val="auto"/>
          <w:sz w:val="24"/>
          <w:szCs w:val="24"/>
          <w:highlight w:val="none"/>
        </w:rPr>
      </w:pPr>
    </w:p>
    <w:p>
      <w:pPr>
        <w:spacing w:after="120"/>
        <w:rPr>
          <w:rFonts w:ascii="Arial" w:hAnsi="Arial"/>
          <w:b/>
          <w:bCs/>
          <w:color w:val="auto"/>
          <w:sz w:val="20"/>
          <w:szCs w:val="28"/>
          <w:highlight w:val="none"/>
        </w:rPr>
      </w:pPr>
    </w:p>
    <w:p>
      <w:pPr>
        <w:rPr>
          <w:color w:val="auto"/>
          <w:highlight w:val="none"/>
        </w:rPr>
      </w:pPr>
    </w:p>
    <w:p>
      <w:pPr>
        <w:spacing w:after="120"/>
        <w:ind w:left="680" w:leftChars="200" w:firstLine="402" w:firstLineChars="200"/>
        <w:rPr>
          <w:rFonts w:ascii="Arial" w:hAnsi="Arial"/>
          <w:b/>
          <w:bCs/>
          <w:color w:val="auto"/>
          <w:sz w:val="20"/>
          <w:szCs w:val="28"/>
          <w:highlight w:val="none"/>
        </w:rPr>
      </w:pPr>
    </w:p>
    <w:p>
      <w:pPr>
        <w:widowControl/>
        <w:autoSpaceDE w:val="0"/>
        <w:autoSpaceDN w:val="0"/>
        <w:spacing w:after="120" w:afterLines="50" w:line="360" w:lineRule="auto"/>
        <w:textAlignment w:val="bottom"/>
        <w:rPr>
          <w:rFonts w:hint="eastAsia" w:hAnsi="宋体"/>
          <w:b/>
          <w:color w:val="auto"/>
          <w:sz w:val="32"/>
          <w:szCs w:val="32"/>
          <w:highlight w:val="none"/>
        </w:rPr>
      </w:pPr>
    </w:p>
    <w:p>
      <w:pPr>
        <w:widowControl/>
        <w:autoSpaceDE w:val="0"/>
        <w:autoSpaceDN w:val="0"/>
        <w:spacing w:after="120" w:afterLines="50" w:line="360" w:lineRule="auto"/>
        <w:textAlignment w:val="bottom"/>
        <w:rPr>
          <w:rFonts w:hint="eastAsia" w:hAnsi="宋体"/>
          <w:b/>
          <w:color w:val="auto"/>
          <w:sz w:val="32"/>
          <w:szCs w:val="32"/>
          <w:highlight w:val="none"/>
          <w:lang w:eastAsia="zh-CN"/>
        </w:rPr>
      </w:pPr>
      <w:r>
        <w:rPr>
          <w:rFonts w:hint="eastAsia" w:hAnsi="宋体"/>
          <w:b/>
          <w:color w:val="auto"/>
          <w:sz w:val="32"/>
          <w:szCs w:val="32"/>
          <w:highlight w:val="none"/>
        </w:rPr>
        <w:t>项目名称:</w:t>
      </w:r>
      <w:r>
        <w:rPr>
          <w:rFonts w:hint="eastAsia"/>
          <w:color w:val="auto"/>
          <w:sz w:val="32"/>
          <w:szCs w:val="32"/>
          <w:highlight w:val="none"/>
        </w:rPr>
        <w:t xml:space="preserve"> </w:t>
      </w:r>
      <w:r>
        <w:rPr>
          <w:rFonts w:hint="eastAsia" w:hAnsi="宋体"/>
          <w:b/>
          <w:color w:val="auto"/>
          <w:sz w:val="32"/>
          <w:szCs w:val="32"/>
          <w:highlight w:val="none"/>
          <w:lang w:eastAsia="zh-CN"/>
        </w:rPr>
        <w:t>海南省安宁医院2023年度公开招聘编内人员委托服务项目</w:t>
      </w:r>
    </w:p>
    <w:p>
      <w:pPr>
        <w:widowControl/>
        <w:autoSpaceDE w:val="0"/>
        <w:autoSpaceDN w:val="0"/>
        <w:spacing w:after="120" w:afterLines="50" w:line="360" w:lineRule="auto"/>
        <w:textAlignment w:val="bottom"/>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HNHS-2024-011</w:t>
      </w:r>
    </w:p>
    <w:p>
      <w:pPr>
        <w:widowControl/>
        <w:autoSpaceDE w:val="0"/>
        <w:autoSpaceDN w:val="0"/>
        <w:spacing w:after="120" w:afterLines="50" w:line="360" w:lineRule="auto"/>
        <w:textAlignment w:val="bottom"/>
        <w:rPr>
          <w:rFonts w:hAnsi="宋体"/>
          <w:b/>
          <w:color w:val="auto"/>
          <w:sz w:val="32"/>
          <w:szCs w:val="32"/>
          <w:highlight w:val="none"/>
        </w:rPr>
      </w:pPr>
      <w:r>
        <w:rPr>
          <w:rFonts w:hint="eastAsia" w:hAnsi="宋体"/>
          <w:b/>
          <w:color w:val="auto"/>
          <w:sz w:val="32"/>
          <w:szCs w:val="32"/>
          <w:highlight w:val="none"/>
        </w:rPr>
        <w:t>采购单位：</w:t>
      </w:r>
      <w:r>
        <w:rPr>
          <w:rFonts w:hint="eastAsia" w:hAnsi="宋体"/>
          <w:b/>
          <w:color w:val="auto"/>
          <w:sz w:val="32"/>
          <w:szCs w:val="32"/>
          <w:highlight w:val="none"/>
          <w:lang w:eastAsia="zh-CN"/>
        </w:rPr>
        <w:t>海南省安宁医院</w:t>
      </w:r>
      <w:r>
        <w:rPr>
          <w:rFonts w:hint="eastAsia" w:hAnsi="宋体"/>
          <w:b/>
          <w:color w:val="auto"/>
          <w:sz w:val="32"/>
          <w:szCs w:val="32"/>
          <w:highlight w:val="none"/>
        </w:rPr>
        <w:t xml:space="preserve"> </w:t>
      </w:r>
    </w:p>
    <w:p>
      <w:pPr>
        <w:widowControl/>
        <w:autoSpaceDE w:val="0"/>
        <w:autoSpaceDN w:val="0"/>
        <w:spacing w:after="120" w:afterLines="50" w:line="360" w:lineRule="auto"/>
        <w:textAlignment w:val="bottom"/>
        <w:rPr>
          <w:rFonts w:hint="eastAsia" w:hAnsi="宋体"/>
          <w:b/>
          <w:color w:val="auto"/>
          <w:sz w:val="32"/>
          <w:szCs w:val="32"/>
          <w:highlight w:val="none"/>
        </w:rPr>
      </w:pPr>
      <w:r>
        <w:rPr>
          <w:rFonts w:hint="eastAsia" w:hAnsi="宋体"/>
          <w:b/>
          <w:color w:val="auto"/>
          <w:sz w:val="32"/>
          <w:szCs w:val="32"/>
          <w:highlight w:val="none"/>
        </w:rPr>
        <w:t>代理机构：海南和顺项目管理有限公司</w:t>
      </w:r>
    </w:p>
    <w:p>
      <w:pPr>
        <w:widowControl/>
        <w:autoSpaceDE w:val="0"/>
        <w:autoSpaceDN w:val="0"/>
        <w:spacing w:line="360" w:lineRule="auto"/>
        <w:jc w:val="center"/>
        <w:textAlignment w:val="bottom"/>
        <w:rPr>
          <w:rFonts w:hAnsi="宋体"/>
          <w:b/>
          <w:color w:val="auto"/>
          <w:spacing w:val="27"/>
          <w:sz w:val="36"/>
          <w:szCs w:val="36"/>
          <w:highlight w:val="none"/>
        </w:rPr>
      </w:pPr>
    </w:p>
    <w:p>
      <w:pPr>
        <w:widowControl/>
        <w:autoSpaceDE w:val="0"/>
        <w:autoSpaceDN w:val="0"/>
        <w:spacing w:line="360" w:lineRule="auto"/>
        <w:jc w:val="center"/>
        <w:textAlignment w:val="bottom"/>
        <w:rPr>
          <w:rFonts w:hAnsi="宋体"/>
          <w:b/>
          <w:color w:val="auto"/>
          <w:spacing w:val="27"/>
          <w:sz w:val="36"/>
          <w:szCs w:val="36"/>
          <w:highlight w:val="none"/>
        </w:rPr>
      </w:pPr>
      <w:r>
        <w:rPr>
          <w:rFonts w:hint="eastAsia" w:hAnsi="宋体"/>
          <w:b/>
          <w:color w:val="auto"/>
          <w:spacing w:val="27"/>
          <w:sz w:val="36"/>
          <w:szCs w:val="36"/>
          <w:highlight w:val="none"/>
        </w:rPr>
        <w:t>20</w:t>
      </w:r>
      <w:r>
        <w:rPr>
          <w:rFonts w:hAnsi="宋体"/>
          <w:b/>
          <w:color w:val="auto"/>
          <w:spacing w:val="27"/>
          <w:sz w:val="36"/>
          <w:szCs w:val="36"/>
          <w:highlight w:val="none"/>
        </w:rPr>
        <w:t>2</w:t>
      </w:r>
      <w:r>
        <w:rPr>
          <w:rFonts w:hint="eastAsia" w:hAnsi="宋体"/>
          <w:b/>
          <w:color w:val="auto"/>
          <w:spacing w:val="27"/>
          <w:sz w:val="36"/>
          <w:szCs w:val="36"/>
          <w:highlight w:val="none"/>
          <w:lang w:val="en-US" w:eastAsia="zh-CN"/>
        </w:rPr>
        <w:t>4</w:t>
      </w:r>
      <w:r>
        <w:rPr>
          <w:rFonts w:hint="eastAsia" w:hAnsi="宋体"/>
          <w:b/>
          <w:color w:val="auto"/>
          <w:spacing w:val="27"/>
          <w:sz w:val="36"/>
          <w:szCs w:val="36"/>
          <w:highlight w:val="none"/>
        </w:rPr>
        <w:t>年</w:t>
      </w:r>
      <w:r>
        <w:rPr>
          <w:rFonts w:hint="eastAsia" w:hAnsi="宋体"/>
          <w:b/>
          <w:color w:val="auto"/>
          <w:spacing w:val="27"/>
          <w:sz w:val="36"/>
          <w:szCs w:val="36"/>
          <w:highlight w:val="none"/>
          <w:lang w:val="en-US" w:eastAsia="zh-CN"/>
        </w:rPr>
        <w:t>2</w:t>
      </w:r>
      <w:r>
        <w:rPr>
          <w:rFonts w:hint="eastAsia" w:hAnsi="宋体"/>
          <w:b/>
          <w:color w:val="auto"/>
          <w:spacing w:val="27"/>
          <w:sz w:val="36"/>
          <w:szCs w:val="36"/>
          <w:highlight w:val="none"/>
        </w:rPr>
        <w:t>月</w:t>
      </w:r>
    </w:p>
    <w:p>
      <w:pPr>
        <w:widowControl/>
        <w:autoSpaceDE w:val="0"/>
        <w:autoSpaceDN w:val="0"/>
        <w:textAlignment w:val="bottom"/>
        <w:rPr>
          <w:rFonts w:hAnsi="宋体"/>
          <w:color w:val="auto"/>
          <w:sz w:val="30"/>
          <w:szCs w:val="30"/>
          <w:highlight w:val="none"/>
        </w:rPr>
        <w:sectPr>
          <w:headerReference r:id="rId4" w:type="first"/>
          <w:footerReference r:id="rId6" w:type="first"/>
          <w:headerReference r:id="rId3" w:type="default"/>
          <w:footerReference r:id="rId5" w:type="default"/>
          <w:pgSz w:w="11906" w:h="16838"/>
          <w:pgMar w:top="1134" w:right="1247" w:bottom="1134" w:left="1418" w:header="851" w:footer="992" w:gutter="0"/>
          <w:pgNumType w:fmt="decimal"/>
          <w:cols w:space="720" w:num="1"/>
          <w:titlePg/>
          <w:docGrid w:linePitch="312" w:charSpace="0"/>
        </w:sectPr>
      </w:pPr>
    </w:p>
    <w:p>
      <w:pPr>
        <w:spacing w:before="0" w:beforeLines="0" w:after="0" w:afterLines="0" w:line="240" w:lineRule="auto"/>
        <w:ind w:left="0" w:leftChars="0" w:right="0" w:rightChars="0" w:firstLine="0" w:firstLineChars="0"/>
        <w:jc w:val="center"/>
        <w:rPr>
          <w:b/>
          <w:bCs/>
          <w:color w:val="auto"/>
          <w:sz w:val="32"/>
          <w:szCs w:val="32"/>
          <w:highlight w:val="none"/>
        </w:rPr>
      </w:pPr>
      <w:r>
        <w:rPr>
          <w:rFonts w:ascii="宋体" w:hAnsi="宋体" w:eastAsia="宋体"/>
          <w:b/>
          <w:bCs/>
          <w:color w:val="auto"/>
          <w:sz w:val="32"/>
          <w:szCs w:val="32"/>
          <w:highlight w:val="none"/>
        </w:rPr>
        <w:t>目</w:t>
      </w:r>
      <w:r>
        <w:rPr>
          <w:rFonts w:hint="eastAsia" w:hAnsi="宋体" w:eastAsia="宋体"/>
          <w:b/>
          <w:bCs/>
          <w:color w:val="auto"/>
          <w:sz w:val="32"/>
          <w:szCs w:val="32"/>
          <w:highlight w:val="none"/>
          <w:lang w:val="en-US" w:eastAsia="zh-CN"/>
        </w:rPr>
        <w:t xml:space="preserve">  </w:t>
      </w:r>
      <w:r>
        <w:rPr>
          <w:rFonts w:ascii="宋体" w:hAnsi="宋体" w:eastAsia="宋体"/>
          <w:b/>
          <w:bCs/>
          <w:color w:val="auto"/>
          <w:sz w:val="32"/>
          <w:szCs w:val="32"/>
          <w:highlight w:val="none"/>
        </w:rPr>
        <w:t>录</w:t>
      </w:r>
    </w:p>
    <w:p>
      <w:pPr>
        <w:pStyle w:val="20"/>
        <w:keepNext w:val="0"/>
        <w:keepLines w:val="0"/>
        <w:pageBreakBefore w:val="0"/>
        <w:widowControl/>
        <w:tabs>
          <w:tab w:val="right" w:leader="dot" w:pos="9241"/>
        </w:tabs>
        <w:kinsoku/>
        <w:wordWrap/>
        <w:overflowPunct/>
        <w:topLinePunct w:val="0"/>
        <w:autoSpaceDE/>
        <w:autoSpaceDN/>
        <w:bidi w:val="0"/>
        <w:adjustRightInd/>
        <w:snapToGrid/>
        <w:spacing w:line="600" w:lineRule="exact"/>
        <w:textAlignment w:val="auto"/>
        <w:rPr>
          <w:color w:val="auto"/>
          <w:sz w:val="28"/>
          <w:szCs w:val="28"/>
          <w:highlight w:val="none"/>
        </w:rPr>
      </w:pPr>
      <w:r>
        <w:rPr>
          <w:rFonts w:hAnsi="宋体"/>
          <w:b/>
          <w:color w:val="auto"/>
          <w:sz w:val="28"/>
          <w:szCs w:val="28"/>
          <w:highlight w:val="none"/>
        </w:rPr>
        <w:fldChar w:fldCharType="begin"/>
      </w:r>
      <w:r>
        <w:rPr>
          <w:rFonts w:hAnsi="宋体"/>
          <w:b/>
          <w:color w:val="auto"/>
          <w:sz w:val="28"/>
          <w:szCs w:val="28"/>
          <w:highlight w:val="none"/>
        </w:rPr>
        <w:instrText xml:space="preserve">TOC \o "1-1" \h \u </w:instrText>
      </w:r>
      <w:r>
        <w:rPr>
          <w:rFonts w:hAnsi="宋体"/>
          <w:b/>
          <w:color w:val="auto"/>
          <w:sz w:val="28"/>
          <w:szCs w:val="28"/>
          <w:highlight w:val="none"/>
        </w:rPr>
        <w:fldChar w:fldCharType="separate"/>
      </w:r>
      <w:r>
        <w:rPr>
          <w:rFonts w:hAnsi="宋体"/>
          <w:color w:val="auto"/>
          <w:sz w:val="28"/>
          <w:szCs w:val="28"/>
          <w:highlight w:val="none"/>
        </w:rPr>
        <w:fldChar w:fldCharType="begin"/>
      </w:r>
      <w:r>
        <w:rPr>
          <w:rFonts w:hAnsi="宋体"/>
          <w:color w:val="auto"/>
          <w:sz w:val="28"/>
          <w:szCs w:val="28"/>
          <w:highlight w:val="none"/>
        </w:rPr>
        <w:instrText xml:space="preserve"> HYPERLINK \l _Toc22765 </w:instrText>
      </w:r>
      <w:r>
        <w:rPr>
          <w:rFonts w:hAnsi="宋体"/>
          <w:color w:val="auto"/>
          <w:sz w:val="28"/>
          <w:szCs w:val="28"/>
          <w:highlight w:val="none"/>
        </w:rPr>
        <w:fldChar w:fldCharType="separate"/>
      </w:r>
      <w:r>
        <w:rPr>
          <w:rFonts w:hint="eastAsia" w:ascii="宋体" w:hAnsi="宋体" w:eastAsia="宋体" w:cs="Times New Roman"/>
          <w:bCs/>
          <w:color w:val="auto"/>
          <w:kern w:val="0"/>
          <w:sz w:val="28"/>
          <w:szCs w:val="28"/>
          <w:highlight w:val="none"/>
          <w:lang w:val="en-US" w:eastAsia="zh-CN" w:bidi="ar-SA"/>
        </w:rPr>
        <w:t>第一章  磋商公告</w:t>
      </w:r>
      <w:r>
        <w:rPr>
          <w:color w:val="auto"/>
          <w:sz w:val="28"/>
          <w:szCs w:val="28"/>
          <w:highlight w:val="none"/>
        </w:rPr>
        <w:tab/>
      </w:r>
      <w:r>
        <w:rPr>
          <w:rFonts w:hint="eastAsia"/>
          <w:color w:val="auto"/>
          <w:sz w:val="28"/>
          <w:szCs w:val="28"/>
          <w:highlight w:val="none"/>
          <w:lang w:val="en-US" w:eastAsia="zh-CN"/>
        </w:rPr>
        <w:t>1</w:t>
      </w:r>
      <w:r>
        <w:rPr>
          <w:rFonts w:hAnsi="宋体"/>
          <w:color w:val="auto"/>
          <w:sz w:val="28"/>
          <w:szCs w:val="28"/>
          <w:highlight w:val="none"/>
        </w:rPr>
        <w:fldChar w:fldCharType="end"/>
      </w:r>
    </w:p>
    <w:p>
      <w:pPr>
        <w:pStyle w:val="20"/>
        <w:keepNext w:val="0"/>
        <w:keepLines w:val="0"/>
        <w:pageBreakBefore w:val="0"/>
        <w:widowControl/>
        <w:tabs>
          <w:tab w:val="right" w:leader="dot" w:pos="9241"/>
        </w:tabs>
        <w:kinsoku/>
        <w:wordWrap/>
        <w:overflowPunct/>
        <w:topLinePunct w:val="0"/>
        <w:autoSpaceDE/>
        <w:autoSpaceDN/>
        <w:bidi w:val="0"/>
        <w:adjustRightInd/>
        <w:snapToGrid/>
        <w:spacing w:line="600" w:lineRule="exact"/>
        <w:textAlignment w:val="auto"/>
        <w:rPr>
          <w:color w:val="auto"/>
          <w:sz w:val="28"/>
          <w:szCs w:val="28"/>
          <w:highlight w:val="none"/>
        </w:rPr>
      </w:pPr>
      <w:r>
        <w:rPr>
          <w:rFonts w:hAnsi="宋体"/>
          <w:color w:val="auto"/>
          <w:sz w:val="28"/>
          <w:szCs w:val="28"/>
          <w:highlight w:val="none"/>
        </w:rPr>
        <w:fldChar w:fldCharType="begin"/>
      </w:r>
      <w:r>
        <w:rPr>
          <w:rFonts w:hAnsi="宋体"/>
          <w:color w:val="auto"/>
          <w:sz w:val="28"/>
          <w:szCs w:val="28"/>
          <w:highlight w:val="none"/>
        </w:rPr>
        <w:instrText xml:space="preserve"> HYPERLINK \l _Toc25485 </w:instrText>
      </w:r>
      <w:r>
        <w:rPr>
          <w:rFonts w:hAnsi="宋体"/>
          <w:color w:val="auto"/>
          <w:sz w:val="28"/>
          <w:szCs w:val="28"/>
          <w:highlight w:val="none"/>
        </w:rPr>
        <w:fldChar w:fldCharType="separate"/>
      </w:r>
      <w:r>
        <w:rPr>
          <w:rFonts w:hint="eastAsia" w:hAnsi="宋体"/>
          <w:bCs/>
          <w:color w:val="auto"/>
          <w:sz w:val="28"/>
          <w:szCs w:val="28"/>
          <w:highlight w:val="none"/>
        </w:rPr>
        <w:t>第二章</w:t>
      </w:r>
      <w:r>
        <w:rPr>
          <w:rFonts w:hint="eastAsia" w:hAnsi="宋体"/>
          <w:bCs/>
          <w:color w:val="auto"/>
          <w:sz w:val="28"/>
          <w:szCs w:val="28"/>
          <w:highlight w:val="none"/>
          <w:lang w:val="en-US" w:eastAsia="zh-CN"/>
        </w:rPr>
        <w:t xml:space="preserve">  </w:t>
      </w:r>
      <w:r>
        <w:rPr>
          <w:rFonts w:hint="eastAsia" w:hAnsi="宋体"/>
          <w:bCs/>
          <w:color w:val="auto"/>
          <w:sz w:val="28"/>
          <w:szCs w:val="28"/>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_Toc25485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Ansi="宋体"/>
          <w:color w:val="auto"/>
          <w:sz w:val="28"/>
          <w:szCs w:val="28"/>
          <w:highlight w:val="none"/>
        </w:rPr>
        <w:fldChar w:fldCharType="end"/>
      </w:r>
    </w:p>
    <w:p>
      <w:pPr>
        <w:pStyle w:val="20"/>
        <w:keepNext w:val="0"/>
        <w:keepLines w:val="0"/>
        <w:pageBreakBefore w:val="0"/>
        <w:widowControl/>
        <w:tabs>
          <w:tab w:val="right" w:leader="dot" w:pos="9241"/>
        </w:tabs>
        <w:kinsoku/>
        <w:wordWrap/>
        <w:overflowPunct/>
        <w:topLinePunct w:val="0"/>
        <w:autoSpaceDE/>
        <w:autoSpaceDN/>
        <w:bidi w:val="0"/>
        <w:adjustRightInd/>
        <w:snapToGrid/>
        <w:spacing w:line="600" w:lineRule="exact"/>
        <w:textAlignment w:val="auto"/>
        <w:rPr>
          <w:color w:val="auto"/>
          <w:sz w:val="28"/>
          <w:szCs w:val="28"/>
          <w:highlight w:val="none"/>
        </w:rPr>
      </w:pPr>
      <w:r>
        <w:rPr>
          <w:rFonts w:hAnsi="宋体"/>
          <w:color w:val="auto"/>
          <w:sz w:val="28"/>
          <w:szCs w:val="28"/>
          <w:highlight w:val="none"/>
        </w:rPr>
        <w:fldChar w:fldCharType="begin"/>
      </w:r>
      <w:r>
        <w:rPr>
          <w:rFonts w:hAnsi="宋体"/>
          <w:color w:val="auto"/>
          <w:sz w:val="28"/>
          <w:szCs w:val="28"/>
          <w:highlight w:val="none"/>
        </w:rPr>
        <w:instrText xml:space="preserve"> HYPERLINK \l _Toc9811 </w:instrText>
      </w:r>
      <w:r>
        <w:rPr>
          <w:rFonts w:hAnsi="宋体"/>
          <w:color w:val="auto"/>
          <w:sz w:val="28"/>
          <w:szCs w:val="28"/>
          <w:highlight w:val="none"/>
        </w:rPr>
        <w:fldChar w:fldCharType="separate"/>
      </w:r>
      <w:r>
        <w:rPr>
          <w:rFonts w:hint="eastAsia" w:hAnsi="宋体"/>
          <w:color w:val="auto"/>
          <w:sz w:val="28"/>
          <w:szCs w:val="28"/>
          <w:highlight w:val="none"/>
        </w:rPr>
        <w:t>第三章</w:t>
      </w:r>
      <w:r>
        <w:rPr>
          <w:rFonts w:hint="eastAsia" w:hAnsi="宋体"/>
          <w:color w:val="auto"/>
          <w:sz w:val="28"/>
          <w:szCs w:val="28"/>
          <w:highlight w:val="none"/>
          <w:lang w:val="en-US" w:eastAsia="zh-CN"/>
        </w:rPr>
        <w:t xml:space="preserve">  </w:t>
      </w:r>
      <w:r>
        <w:rPr>
          <w:rFonts w:hint="eastAsia" w:hAnsi="宋体"/>
          <w:color w:val="auto"/>
          <w:sz w:val="28"/>
          <w:szCs w:val="28"/>
          <w:highlight w:val="none"/>
        </w:rPr>
        <w:t>采购需求书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_Toc9811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rFonts w:hAnsi="宋体"/>
          <w:color w:val="auto"/>
          <w:sz w:val="28"/>
          <w:szCs w:val="28"/>
          <w:highlight w:val="none"/>
        </w:rPr>
        <w:fldChar w:fldCharType="end"/>
      </w:r>
    </w:p>
    <w:p>
      <w:pPr>
        <w:pStyle w:val="20"/>
        <w:keepNext w:val="0"/>
        <w:keepLines w:val="0"/>
        <w:pageBreakBefore w:val="0"/>
        <w:widowControl/>
        <w:tabs>
          <w:tab w:val="right" w:leader="dot" w:pos="9241"/>
        </w:tabs>
        <w:kinsoku/>
        <w:wordWrap/>
        <w:overflowPunct/>
        <w:topLinePunct w:val="0"/>
        <w:autoSpaceDE/>
        <w:autoSpaceDN/>
        <w:bidi w:val="0"/>
        <w:adjustRightInd/>
        <w:snapToGrid/>
        <w:spacing w:line="600" w:lineRule="exact"/>
        <w:textAlignment w:val="auto"/>
        <w:rPr>
          <w:color w:val="auto"/>
          <w:sz w:val="28"/>
          <w:szCs w:val="28"/>
          <w:highlight w:val="none"/>
        </w:rPr>
      </w:pPr>
      <w:r>
        <w:rPr>
          <w:rFonts w:hAnsi="宋体"/>
          <w:color w:val="auto"/>
          <w:sz w:val="28"/>
          <w:szCs w:val="28"/>
          <w:highlight w:val="none"/>
        </w:rPr>
        <w:fldChar w:fldCharType="begin"/>
      </w:r>
      <w:r>
        <w:rPr>
          <w:rFonts w:hAnsi="宋体"/>
          <w:color w:val="auto"/>
          <w:sz w:val="28"/>
          <w:szCs w:val="28"/>
          <w:highlight w:val="none"/>
        </w:rPr>
        <w:instrText xml:space="preserve"> HYPERLINK \l _Toc12322 </w:instrText>
      </w:r>
      <w:r>
        <w:rPr>
          <w:rFonts w:hAnsi="宋体"/>
          <w:color w:val="auto"/>
          <w:sz w:val="28"/>
          <w:szCs w:val="28"/>
          <w:highlight w:val="none"/>
        </w:rPr>
        <w:fldChar w:fldCharType="separate"/>
      </w:r>
      <w:r>
        <w:rPr>
          <w:rFonts w:hint="eastAsia" w:hAnsi="宋体"/>
          <w:color w:val="auto"/>
          <w:sz w:val="28"/>
          <w:szCs w:val="28"/>
          <w:highlight w:val="none"/>
        </w:rPr>
        <w:t>第四章</w:t>
      </w:r>
      <w:r>
        <w:rPr>
          <w:rFonts w:hAnsi="宋体"/>
          <w:color w:val="auto"/>
          <w:sz w:val="28"/>
          <w:szCs w:val="28"/>
          <w:highlight w:val="none"/>
        </w:rPr>
        <w:t xml:space="preserve"> </w:t>
      </w:r>
      <w:r>
        <w:rPr>
          <w:rFonts w:hint="eastAsia" w:hAnsi="宋体"/>
          <w:color w:val="auto"/>
          <w:sz w:val="28"/>
          <w:szCs w:val="28"/>
          <w:highlight w:val="none"/>
          <w:lang w:val="en-US" w:eastAsia="zh-CN"/>
        </w:rPr>
        <w:t xml:space="preserve"> </w:t>
      </w:r>
      <w:r>
        <w:rPr>
          <w:rFonts w:hint="eastAsia" w:hAnsi="宋体"/>
          <w:color w:val="auto"/>
          <w:sz w:val="28"/>
          <w:szCs w:val="28"/>
          <w:highlight w:val="none"/>
        </w:rPr>
        <w:t>评审办法和程序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_Toc12322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Ansi="宋体"/>
          <w:color w:val="auto"/>
          <w:sz w:val="28"/>
          <w:szCs w:val="28"/>
          <w:highlight w:val="none"/>
        </w:rPr>
        <w:fldChar w:fldCharType="end"/>
      </w:r>
    </w:p>
    <w:p>
      <w:pPr>
        <w:pStyle w:val="20"/>
        <w:keepNext w:val="0"/>
        <w:keepLines w:val="0"/>
        <w:pageBreakBefore w:val="0"/>
        <w:widowControl/>
        <w:tabs>
          <w:tab w:val="right" w:leader="dot" w:pos="9241"/>
        </w:tabs>
        <w:kinsoku/>
        <w:wordWrap/>
        <w:overflowPunct/>
        <w:topLinePunct w:val="0"/>
        <w:autoSpaceDE/>
        <w:autoSpaceDN/>
        <w:bidi w:val="0"/>
        <w:adjustRightInd/>
        <w:snapToGrid/>
        <w:spacing w:line="600" w:lineRule="exact"/>
        <w:textAlignment w:val="auto"/>
        <w:rPr>
          <w:color w:val="auto"/>
          <w:sz w:val="28"/>
          <w:szCs w:val="28"/>
          <w:highlight w:val="none"/>
        </w:rPr>
      </w:pPr>
      <w:r>
        <w:rPr>
          <w:rFonts w:hAnsi="宋体"/>
          <w:color w:val="auto"/>
          <w:sz w:val="28"/>
          <w:szCs w:val="28"/>
          <w:highlight w:val="none"/>
        </w:rPr>
        <w:fldChar w:fldCharType="begin"/>
      </w:r>
      <w:r>
        <w:rPr>
          <w:rFonts w:hAnsi="宋体"/>
          <w:color w:val="auto"/>
          <w:sz w:val="28"/>
          <w:szCs w:val="28"/>
          <w:highlight w:val="none"/>
        </w:rPr>
        <w:instrText xml:space="preserve"> HYPERLINK \l _Toc3315 </w:instrText>
      </w:r>
      <w:r>
        <w:rPr>
          <w:rFonts w:hAnsi="宋体"/>
          <w:color w:val="auto"/>
          <w:sz w:val="28"/>
          <w:szCs w:val="28"/>
          <w:highlight w:val="none"/>
        </w:rPr>
        <w:fldChar w:fldCharType="separate"/>
      </w:r>
      <w:r>
        <w:rPr>
          <w:rFonts w:hint="eastAsia" w:ascii="宋体" w:hAnsi="宋体" w:eastAsia="宋体" w:cs="Times New Roman"/>
          <w:bCs/>
          <w:color w:val="auto"/>
          <w:kern w:val="0"/>
          <w:sz w:val="28"/>
          <w:szCs w:val="28"/>
          <w:highlight w:val="none"/>
          <w:lang w:val="en-US" w:eastAsia="zh-CN" w:bidi="ar-SA"/>
        </w:rPr>
        <w:t>第五章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_Toc3315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rFonts w:hAnsi="宋体"/>
          <w:color w:val="auto"/>
          <w:sz w:val="28"/>
          <w:szCs w:val="28"/>
          <w:highlight w:val="none"/>
        </w:rPr>
        <w:fldChar w:fldCharType="end"/>
      </w:r>
    </w:p>
    <w:p>
      <w:pPr>
        <w:pStyle w:val="20"/>
        <w:keepNext w:val="0"/>
        <w:keepLines w:val="0"/>
        <w:pageBreakBefore w:val="0"/>
        <w:widowControl/>
        <w:tabs>
          <w:tab w:val="right" w:leader="dot" w:pos="9241"/>
        </w:tabs>
        <w:kinsoku/>
        <w:wordWrap/>
        <w:overflowPunct/>
        <w:topLinePunct w:val="0"/>
        <w:autoSpaceDE/>
        <w:autoSpaceDN/>
        <w:bidi w:val="0"/>
        <w:adjustRightInd/>
        <w:snapToGrid/>
        <w:spacing w:line="600" w:lineRule="exact"/>
        <w:textAlignment w:val="auto"/>
        <w:rPr>
          <w:color w:val="auto"/>
          <w:sz w:val="28"/>
          <w:szCs w:val="28"/>
          <w:highlight w:val="none"/>
        </w:rPr>
      </w:pPr>
      <w:r>
        <w:rPr>
          <w:rFonts w:hAnsi="宋体"/>
          <w:color w:val="auto"/>
          <w:sz w:val="28"/>
          <w:szCs w:val="28"/>
          <w:highlight w:val="none"/>
        </w:rPr>
        <w:fldChar w:fldCharType="begin"/>
      </w:r>
      <w:r>
        <w:rPr>
          <w:rFonts w:hAnsi="宋体"/>
          <w:color w:val="auto"/>
          <w:sz w:val="28"/>
          <w:szCs w:val="28"/>
          <w:highlight w:val="none"/>
        </w:rPr>
        <w:instrText xml:space="preserve"> HYPERLINK \l _Toc21362 </w:instrText>
      </w:r>
      <w:r>
        <w:rPr>
          <w:rFonts w:hAnsi="宋体"/>
          <w:color w:val="auto"/>
          <w:sz w:val="28"/>
          <w:szCs w:val="28"/>
          <w:highlight w:val="none"/>
        </w:rPr>
        <w:fldChar w:fldCharType="separate"/>
      </w:r>
      <w:r>
        <w:rPr>
          <w:rFonts w:hint="eastAsia" w:hAnsi="宋体"/>
          <w:color w:val="auto"/>
          <w:sz w:val="28"/>
          <w:szCs w:val="28"/>
          <w:highlight w:val="none"/>
        </w:rPr>
        <w:t>第六章</w:t>
      </w:r>
      <w:r>
        <w:rPr>
          <w:rFonts w:hint="eastAsia" w:hAnsi="宋体"/>
          <w:color w:val="auto"/>
          <w:sz w:val="28"/>
          <w:szCs w:val="28"/>
          <w:highlight w:val="none"/>
          <w:lang w:val="en-US" w:eastAsia="zh-CN"/>
        </w:rPr>
        <w:t xml:space="preserve">  </w:t>
      </w:r>
      <w:r>
        <w:rPr>
          <w:rFonts w:hint="eastAsia" w:hAnsi="宋体"/>
          <w:color w:val="auto"/>
          <w:sz w:val="28"/>
          <w:szCs w:val="28"/>
          <w:highlight w:val="none"/>
        </w:rPr>
        <w:t>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_Toc21362 \h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rFonts w:hAnsi="宋体"/>
          <w:color w:val="auto"/>
          <w:sz w:val="28"/>
          <w:szCs w:val="28"/>
          <w:highlight w:val="none"/>
        </w:rPr>
        <w:fldChar w:fldCharType="end"/>
      </w:r>
    </w:p>
    <w:p>
      <w:pPr>
        <w:pStyle w:val="20"/>
        <w:tabs>
          <w:tab w:val="right" w:leader="dot" w:pos="9241"/>
        </w:tabs>
        <w:rPr>
          <w:color w:val="auto"/>
          <w:sz w:val="28"/>
          <w:szCs w:val="28"/>
          <w:highlight w:val="none"/>
        </w:rPr>
      </w:pPr>
    </w:p>
    <w:p>
      <w:pPr>
        <w:keepNext w:val="0"/>
        <w:keepLines w:val="0"/>
        <w:pageBreakBefore w:val="0"/>
        <w:widowControl/>
        <w:kinsoku/>
        <w:wordWrap/>
        <w:overflowPunct/>
        <w:topLinePunct w:val="0"/>
        <w:autoSpaceDE w:val="0"/>
        <w:autoSpaceDN w:val="0"/>
        <w:bidi w:val="0"/>
        <w:adjustRightInd/>
        <w:snapToGrid/>
        <w:spacing w:line="360" w:lineRule="auto"/>
        <w:textAlignment w:val="bottom"/>
        <w:rPr>
          <w:rFonts w:hAnsi="宋体"/>
          <w:b/>
          <w:color w:val="auto"/>
          <w:sz w:val="24"/>
          <w:szCs w:val="24"/>
          <w:highlight w:val="none"/>
        </w:rPr>
      </w:pPr>
      <w:r>
        <w:rPr>
          <w:rFonts w:hAnsi="宋体"/>
          <w:color w:val="auto"/>
          <w:sz w:val="28"/>
          <w:szCs w:val="28"/>
          <w:highlight w:val="none"/>
        </w:rPr>
        <w:fldChar w:fldCharType="end"/>
      </w:r>
    </w:p>
    <w:p>
      <w:pPr>
        <w:rPr>
          <w:rFonts w:hAnsi="宋体"/>
          <w:color w:val="auto"/>
          <w:sz w:val="24"/>
          <w:szCs w:val="24"/>
          <w:highlight w:val="none"/>
        </w:rPr>
      </w:pPr>
    </w:p>
    <w:p>
      <w:pPr>
        <w:jc w:val="center"/>
        <w:rPr>
          <w:rFonts w:hAnsi="宋体"/>
          <w:color w:val="auto"/>
          <w:sz w:val="24"/>
          <w:szCs w:val="24"/>
          <w:highlight w:val="none"/>
        </w:rPr>
      </w:pPr>
    </w:p>
    <w:p>
      <w:pPr>
        <w:pStyle w:val="3"/>
        <w:pageBreakBefore/>
        <w:spacing w:before="0" w:after="0" w:line="276" w:lineRule="auto"/>
        <w:outlineLvl w:val="9"/>
        <w:rPr>
          <w:rFonts w:hint="eastAsia" w:hAnsi="宋体"/>
          <w:color w:val="auto"/>
          <w:sz w:val="24"/>
          <w:szCs w:val="24"/>
          <w:highlight w:val="none"/>
        </w:rPr>
        <w:sectPr>
          <w:footerReference r:id="rId8" w:type="first"/>
          <w:footerReference r:id="rId7" w:type="default"/>
          <w:pgSz w:w="11906" w:h="16838"/>
          <w:pgMar w:top="1134" w:right="1247" w:bottom="1134" w:left="1418" w:header="851" w:footer="992" w:gutter="0"/>
          <w:pgNumType w:fmt="decimal" w:start="1"/>
          <w:cols w:space="720" w:num="1"/>
          <w:docGrid w:linePitch="312" w:charSpace="0"/>
        </w:sectPr>
      </w:pPr>
      <w:bookmarkStart w:id="0" w:name="_Toc495679391"/>
      <w:bookmarkStart w:id="1" w:name="_Toc71799150"/>
    </w:p>
    <w:bookmarkEnd w:id="0"/>
    <w:bookmarkEnd w:id="1"/>
    <w:p>
      <w:pPr>
        <w:pStyle w:val="3"/>
        <w:pageBreakBefore/>
        <w:spacing w:before="0" w:after="0" w:line="276" w:lineRule="auto"/>
        <w:outlineLvl w:val="0"/>
        <w:rPr>
          <w:rFonts w:hint="eastAsia" w:ascii="宋体" w:hAnsi="宋体" w:eastAsia="宋体" w:cs="Times New Roman"/>
          <w:b/>
          <w:bCs/>
          <w:color w:val="auto"/>
          <w:kern w:val="0"/>
          <w:sz w:val="32"/>
          <w:szCs w:val="32"/>
          <w:highlight w:val="none"/>
          <w:lang w:val="en-US" w:eastAsia="zh-CN" w:bidi="ar-SA"/>
        </w:rPr>
      </w:pPr>
      <w:bookmarkStart w:id="2" w:name="_Toc22765"/>
      <w:r>
        <w:rPr>
          <w:rFonts w:hint="eastAsia" w:ascii="宋体" w:hAnsi="宋体" w:eastAsia="宋体" w:cs="Times New Roman"/>
          <w:b/>
          <w:bCs/>
          <w:color w:val="auto"/>
          <w:kern w:val="0"/>
          <w:sz w:val="32"/>
          <w:szCs w:val="32"/>
          <w:highlight w:val="none"/>
          <w:lang w:val="en-US" w:eastAsia="zh-CN" w:bidi="ar-SA"/>
        </w:rPr>
        <w:t>第一章  磋商公告</w:t>
      </w:r>
      <w:bookmarkEnd w:id="2"/>
    </w:p>
    <w:p>
      <w:pPr>
        <w:rPr>
          <w:rFonts w:hAnsi="宋体"/>
          <w:color w:val="auto"/>
          <w:sz w:val="24"/>
          <w:szCs w:val="24"/>
          <w:highlight w:val="none"/>
        </w:rPr>
      </w:pPr>
    </w:p>
    <w:p>
      <w:pPr>
        <w:pBdr>
          <w:top w:val="single" w:color="auto" w:sz="4" w:space="1"/>
          <w:left w:val="single" w:color="auto" w:sz="4" w:space="4"/>
          <w:bottom w:val="single" w:color="auto" w:sz="4" w:space="1"/>
          <w:right w:val="single" w:color="auto" w:sz="4" w:space="4"/>
        </w:pBdr>
        <w:spacing w:line="360" w:lineRule="auto"/>
        <w:rPr>
          <w:rFonts w:hAnsi="宋体"/>
          <w:b/>
          <w:color w:val="auto"/>
          <w:sz w:val="24"/>
          <w:szCs w:val="24"/>
          <w:highlight w:val="none"/>
        </w:rPr>
      </w:pPr>
      <w:r>
        <w:rPr>
          <w:rFonts w:hint="eastAsia" w:hAnsi="宋体"/>
          <w:b/>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Ansi="宋体"/>
          <w:color w:val="auto"/>
          <w:sz w:val="24"/>
          <w:szCs w:val="24"/>
          <w:highlight w:val="none"/>
        </w:rPr>
      </w:pPr>
      <w:r>
        <w:rPr>
          <w:rFonts w:hint="eastAsia" w:hAnsi="宋体"/>
          <w:color w:val="auto"/>
          <w:sz w:val="24"/>
          <w:szCs w:val="24"/>
          <w:highlight w:val="none"/>
          <w:u w:val="single"/>
          <w:lang w:eastAsia="zh-CN"/>
        </w:rPr>
        <w:t>海南省安宁医院2023年度公开招聘编内人员委托服务项目</w:t>
      </w:r>
      <w:r>
        <w:rPr>
          <w:rFonts w:hint="eastAsia" w:hAnsi="宋体"/>
          <w:color w:val="auto"/>
          <w:sz w:val="24"/>
          <w:szCs w:val="24"/>
          <w:highlight w:val="none"/>
        </w:rPr>
        <w:t>的潜在供应商应在</w:t>
      </w:r>
      <w:r>
        <w:rPr>
          <w:rFonts w:hint="eastAsia" w:hAnsi="宋体"/>
          <w:color w:val="auto"/>
          <w:sz w:val="24"/>
          <w:szCs w:val="24"/>
          <w:highlight w:val="none"/>
          <w:u w:val="single"/>
        </w:rPr>
        <w:t>海口市蓝天路名门广场北区B(6-9)1909房</w:t>
      </w:r>
      <w:r>
        <w:rPr>
          <w:rFonts w:hint="eastAsia" w:hAnsi="宋体"/>
          <w:color w:val="auto"/>
          <w:sz w:val="24"/>
          <w:szCs w:val="24"/>
          <w:highlight w:val="none"/>
          <w:u w:val="none"/>
          <w:lang w:val="en-US" w:eastAsia="zh-CN"/>
        </w:rPr>
        <w:t>获</w:t>
      </w:r>
      <w:r>
        <w:rPr>
          <w:rFonts w:hint="eastAsia" w:hAnsi="宋体"/>
          <w:color w:val="auto"/>
          <w:sz w:val="24"/>
          <w:szCs w:val="24"/>
          <w:highlight w:val="none"/>
        </w:rPr>
        <w:t>取采购文件，并于</w:t>
      </w:r>
      <w:r>
        <w:rPr>
          <w:rFonts w:hint="eastAsia" w:hAnsi="宋体"/>
          <w:color w:val="auto"/>
          <w:sz w:val="24"/>
          <w:szCs w:val="24"/>
          <w:highlight w:val="none"/>
          <w:u w:val="single"/>
        </w:rPr>
        <w:t>202</w:t>
      </w:r>
      <w:r>
        <w:rPr>
          <w:rFonts w:hint="eastAsia" w:hAnsi="宋体"/>
          <w:color w:val="auto"/>
          <w:sz w:val="24"/>
          <w:szCs w:val="24"/>
          <w:highlight w:val="none"/>
          <w:u w:val="single"/>
          <w:lang w:val="en-US" w:eastAsia="zh-CN"/>
        </w:rPr>
        <w:t>4</w:t>
      </w:r>
      <w:r>
        <w:rPr>
          <w:rFonts w:hint="eastAsia" w:hAnsi="宋体"/>
          <w:color w:val="auto"/>
          <w:sz w:val="24"/>
          <w:szCs w:val="24"/>
          <w:highlight w:val="none"/>
          <w:u w:val="single"/>
        </w:rPr>
        <w:t>年</w:t>
      </w:r>
      <w:r>
        <w:rPr>
          <w:rFonts w:hint="eastAsia" w:hAnsi="宋体"/>
          <w:color w:val="auto"/>
          <w:sz w:val="24"/>
          <w:szCs w:val="24"/>
          <w:highlight w:val="none"/>
          <w:u w:val="single"/>
          <w:lang w:val="en-US" w:eastAsia="zh-CN"/>
        </w:rPr>
        <w:t>2</w:t>
      </w:r>
      <w:r>
        <w:rPr>
          <w:rFonts w:hint="eastAsia" w:hAnsi="宋体"/>
          <w:color w:val="auto"/>
          <w:sz w:val="24"/>
          <w:szCs w:val="24"/>
          <w:highlight w:val="none"/>
          <w:u w:val="single"/>
        </w:rPr>
        <w:t>月</w:t>
      </w:r>
      <w:r>
        <w:rPr>
          <w:rFonts w:hint="eastAsia" w:hAnsi="宋体"/>
          <w:color w:val="auto"/>
          <w:sz w:val="24"/>
          <w:szCs w:val="24"/>
          <w:highlight w:val="none"/>
          <w:u w:val="single"/>
          <w:lang w:val="en-US" w:eastAsia="zh-CN"/>
        </w:rPr>
        <w:t>29</w:t>
      </w:r>
      <w:r>
        <w:rPr>
          <w:rFonts w:hint="eastAsia" w:hAnsi="宋体"/>
          <w:bCs/>
          <w:color w:val="auto"/>
          <w:sz w:val="24"/>
          <w:szCs w:val="24"/>
          <w:highlight w:val="none"/>
          <w:u w:val="single"/>
        </w:rPr>
        <w:t>日</w:t>
      </w:r>
      <w:r>
        <w:rPr>
          <w:rFonts w:hint="eastAsia" w:hAnsi="宋体"/>
          <w:bCs/>
          <w:color w:val="auto"/>
          <w:sz w:val="24"/>
          <w:szCs w:val="24"/>
          <w:highlight w:val="none"/>
          <w:u w:val="single"/>
          <w:lang w:val="en-US" w:eastAsia="zh-CN"/>
        </w:rPr>
        <w:t>9</w:t>
      </w:r>
      <w:r>
        <w:rPr>
          <w:rFonts w:hint="eastAsia" w:hAnsi="宋体"/>
          <w:bCs/>
          <w:color w:val="auto"/>
          <w:sz w:val="24"/>
          <w:szCs w:val="24"/>
          <w:highlight w:val="none"/>
          <w:u w:val="single"/>
        </w:rPr>
        <w:t>点</w:t>
      </w:r>
      <w:r>
        <w:rPr>
          <w:rFonts w:hint="eastAsia" w:hAnsi="宋体"/>
          <w:bCs/>
          <w:color w:val="auto"/>
          <w:sz w:val="24"/>
          <w:szCs w:val="24"/>
          <w:highlight w:val="none"/>
          <w:u w:val="single"/>
          <w:lang w:val="en-US" w:eastAsia="zh-CN"/>
        </w:rPr>
        <w:t>30</w:t>
      </w:r>
      <w:r>
        <w:rPr>
          <w:rFonts w:hint="eastAsia" w:hAnsi="宋体"/>
          <w:bCs/>
          <w:color w:val="auto"/>
          <w:sz w:val="24"/>
          <w:szCs w:val="24"/>
          <w:highlight w:val="none"/>
          <w:u w:val="single"/>
        </w:rPr>
        <w:t>分</w:t>
      </w:r>
      <w:r>
        <w:rPr>
          <w:rFonts w:hint="eastAsia" w:hAnsi="宋体"/>
          <w:bCs/>
          <w:color w:val="auto"/>
          <w:sz w:val="24"/>
          <w:szCs w:val="24"/>
          <w:highlight w:val="none"/>
        </w:rPr>
        <w:t>（北京时间）前提交响应</w:t>
      </w:r>
      <w:r>
        <w:rPr>
          <w:rFonts w:hAnsi="宋体"/>
          <w:bCs/>
          <w:color w:val="auto"/>
          <w:sz w:val="24"/>
          <w:szCs w:val="24"/>
          <w:highlight w:val="none"/>
        </w:rPr>
        <w:t>文件</w:t>
      </w:r>
      <w:r>
        <w:rPr>
          <w:rFonts w:hint="eastAsia" w:hAnsi="宋体"/>
          <w:color w:val="auto"/>
          <w:sz w:val="24"/>
          <w:szCs w:val="24"/>
          <w:highlight w:val="none"/>
        </w:rPr>
        <w:t>。</w:t>
      </w:r>
    </w:p>
    <w:p>
      <w:pPr>
        <w:spacing w:line="360" w:lineRule="auto"/>
        <w:rPr>
          <w:rFonts w:hAnsi="宋体"/>
          <w:color w:val="auto"/>
          <w:sz w:val="24"/>
          <w:szCs w:val="24"/>
          <w:highlight w:val="none"/>
        </w:rPr>
      </w:pPr>
    </w:p>
    <w:p>
      <w:pPr>
        <w:pStyle w:val="4"/>
        <w:spacing w:before="0" w:after="0" w:line="360" w:lineRule="auto"/>
        <w:rPr>
          <w:rFonts w:ascii="宋体" w:hAnsi="宋体" w:eastAsia="宋体" w:cs="宋体"/>
          <w:color w:val="auto"/>
          <w:sz w:val="24"/>
          <w:szCs w:val="24"/>
          <w:highlight w:val="none"/>
        </w:rPr>
      </w:pPr>
      <w:bookmarkStart w:id="3" w:name="_Toc35393798"/>
      <w:bookmarkStart w:id="4" w:name="_Toc28359089"/>
      <w:bookmarkStart w:id="5" w:name="_Toc35393629"/>
      <w:bookmarkStart w:id="6" w:name="_Toc28359012"/>
      <w:r>
        <w:rPr>
          <w:rFonts w:hint="eastAsia" w:ascii="宋体" w:hAnsi="宋体" w:eastAsia="宋体" w:cs="宋体"/>
          <w:color w:val="auto"/>
          <w:sz w:val="24"/>
          <w:szCs w:val="24"/>
          <w:highlight w:val="none"/>
        </w:rPr>
        <w:t>一、项目基本情况</w:t>
      </w:r>
      <w:bookmarkEnd w:id="3"/>
      <w:bookmarkEnd w:id="4"/>
      <w:bookmarkEnd w:id="5"/>
      <w:bookmarkEnd w:id="6"/>
    </w:p>
    <w:p>
      <w:pPr>
        <w:spacing w:line="360" w:lineRule="auto"/>
        <w:ind w:firstLine="480" w:firstLineChars="200"/>
        <w:rPr>
          <w:rFonts w:hint="eastAsia" w:hAnsi="宋体"/>
          <w:color w:val="auto"/>
          <w:sz w:val="24"/>
          <w:szCs w:val="24"/>
          <w:highlight w:val="none"/>
          <w:lang w:eastAsia="zh-CN"/>
        </w:rPr>
      </w:pPr>
      <w:r>
        <w:rPr>
          <w:rFonts w:hint="eastAsia" w:hAnsi="宋体"/>
          <w:color w:val="auto"/>
          <w:sz w:val="24"/>
          <w:szCs w:val="24"/>
          <w:highlight w:val="none"/>
          <w:lang w:val="en-US" w:eastAsia="zh-CN"/>
        </w:rPr>
        <w:t>1、</w:t>
      </w:r>
      <w:r>
        <w:rPr>
          <w:rFonts w:hint="eastAsia" w:hAnsi="宋体"/>
          <w:color w:val="auto"/>
          <w:sz w:val="24"/>
          <w:szCs w:val="24"/>
          <w:highlight w:val="none"/>
        </w:rPr>
        <w:t>项目编号：</w:t>
      </w:r>
      <w:r>
        <w:rPr>
          <w:rFonts w:hint="eastAsia" w:hAnsi="宋体"/>
          <w:color w:val="auto"/>
          <w:sz w:val="24"/>
          <w:szCs w:val="24"/>
          <w:highlight w:val="none"/>
          <w:lang w:eastAsia="zh-CN"/>
        </w:rPr>
        <w:t>HNHS-2024-011；</w:t>
      </w:r>
    </w:p>
    <w:p>
      <w:pPr>
        <w:spacing w:line="360" w:lineRule="auto"/>
        <w:ind w:firstLine="480" w:firstLineChars="200"/>
        <w:rPr>
          <w:rFonts w:hint="eastAsia" w:hAnsi="宋体" w:eastAsia="宋体"/>
          <w:color w:val="auto"/>
          <w:sz w:val="24"/>
          <w:szCs w:val="24"/>
          <w:highlight w:val="none"/>
          <w:u w:val="single"/>
          <w:lang w:eastAsia="zh-CN"/>
        </w:rPr>
      </w:pPr>
      <w:r>
        <w:rPr>
          <w:rFonts w:hint="eastAsia" w:hAnsi="宋体"/>
          <w:color w:val="auto"/>
          <w:sz w:val="24"/>
          <w:szCs w:val="24"/>
          <w:highlight w:val="none"/>
          <w:lang w:val="en-US" w:eastAsia="zh-CN"/>
        </w:rPr>
        <w:t>2、</w:t>
      </w:r>
      <w:r>
        <w:rPr>
          <w:rFonts w:hint="eastAsia" w:hAnsi="宋体"/>
          <w:color w:val="auto"/>
          <w:sz w:val="24"/>
          <w:szCs w:val="24"/>
          <w:highlight w:val="none"/>
        </w:rPr>
        <w:t>项目名称：</w:t>
      </w:r>
      <w:r>
        <w:rPr>
          <w:rFonts w:hint="eastAsia" w:hAnsi="宋体"/>
          <w:color w:val="auto"/>
          <w:sz w:val="24"/>
          <w:szCs w:val="24"/>
          <w:highlight w:val="none"/>
          <w:lang w:eastAsia="zh-CN"/>
        </w:rPr>
        <w:t>海南省安宁医院2023年度公开招聘编内人员委托服务项目；</w:t>
      </w:r>
    </w:p>
    <w:p>
      <w:pPr>
        <w:spacing w:line="360" w:lineRule="auto"/>
        <w:ind w:firstLine="480" w:firstLineChars="200"/>
        <w:rPr>
          <w:rFonts w:hint="eastAsia" w:hAnsi="宋体"/>
          <w:color w:val="auto"/>
          <w:sz w:val="24"/>
          <w:szCs w:val="24"/>
          <w:highlight w:val="none"/>
          <w:lang w:eastAsia="zh-CN"/>
        </w:rPr>
      </w:pPr>
      <w:r>
        <w:rPr>
          <w:rFonts w:hint="eastAsia" w:hAnsi="宋体"/>
          <w:color w:val="auto"/>
          <w:sz w:val="24"/>
          <w:szCs w:val="24"/>
          <w:highlight w:val="none"/>
          <w:lang w:val="en-US" w:eastAsia="zh-CN"/>
        </w:rPr>
        <w:t>3、</w:t>
      </w:r>
      <w:r>
        <w:rPr>
          <w:rFonts w:hint="eastAsia" w:hAnsi="宋体"/>
          <w:color w:val="auto"/>
          <w:sz w:val="24"/>
          <w:szCs w:val="24"/>
          <w:highlight w:val="none"/>
        </w:rPr>
        <w:t>采购方式：竞争性磋商</w:t>
      </w:r>
      <w:r>
        <w:rPr>
          <w:rFonts w:hint="eastAsia" w:hAnsi="宋体"/>
          <w:color w:val="auto"/>
          <w:sz w:val="24"/>
          <w:szCs w:val="24"/>
          <w:highlight w:val="none"/>
          <w:lang w:eastAsia="zh-CN"/>
        </w:rPr>
        <w:t>；</w:t>
      </w:r>
    </w:p>
    <w:p>
      <w:pPr>
        <w:spacing w:line="360" w:lineRule="auto"/>
        <w:ind w:firstLine="480" w:firstLineChars="200"/>
        <w:rPr>
          <w:rFonts w:hint="eastAsia" w:ascii="宋体" w:hAnsi="宋体" w:eastAsia="宋体" w:cs="Times New Roman"/>
          <w:b w:val="0"/>
          <w:color w:val="auto"/>
          <w:kern w:val="0"/>
          <w:sz w:val="24"/>
          <w:szCs w:val="24"/>
          <w:highlight w:val="none"/>
          <w:lang w:val="en-US" w:eastAsia="zh-CN" w:bidi="ar-SA"/>
        </w:rPr>
      </w:pPr>
      <w:r>
        <w:rPr>
          <w:rFonts w:hint="eastAsia" w:hAnsi="宋体" w:cs="Times New Roman"/>
          <w:b w:val="0"/>
          <w:color w:val="auto"/>
          <w:kern w:val="0"/>
          <w:sz w:val="24"/>
          <w:szCs w:val="24"/>
          <w:highlight w:val="none"/>
          <w:lang w:val="en-US" w:eastAsia="zh-CN" w:bidi="ar-SA"/>
        </w:rPr>
        <w:t>4、预算</w:t>
      </w:r>
      <w:r>
        <w:rPr>
          <w:rFonts w:hint="eastAsia" w:ascii="宋体" w:hAnsi="宋体" w:eastAsia="宋体" w:cs="Times New Roman"/>
          <w:b w:val="0"/>
          <w:color w:val="auto"/>
          <w:kern w:val="0"/>
          <w:sz w:val="24"/>
          <w:szCs w:val="24"/>
          <w:highlight w:val="none"/>
          <w:lang w:val="en-US" w:eastAsia="zh-CN" w:bidi="ar-SA"/>
        </w:rPr>
        <w:t>金额：216</w:t>
      </w:r>
      <w:r>
        <w:rPr>
          <w:rFonts w:hint="eastAsia" w:hAnsi="宋体" w:cs="Times New Roman"/>
          <w:b w:val="0"/>
          <w:color w:val="auto"/>
          <w:kern w:val="0"/>
          <w:sz w:val="24"/>
          <w:szCs w:val="24"/>
          <w:highlight w:val="none"/>
          <w:lang w:val="en-US" w:eastAsia="zh-CN" w:bidi="ar-SA"/>
        </w:rPr>
        <w:t>000.00</w:t>
      </w:r>
      <w:r>
        <w:rPr>
          <w:rFonts w:hint="eastAsia" w:ascii="宋体" w:hAnsi="宋体" w:eastAsia="宋体" w:cs="Times New Roman"/>
          <w:b w:val="0"/>
          <w:color w:val="auto"/>
          <w:kern w:val="0"/>
          <w:sz w:val="24"/>
          <w:szCs w:val="24"/>
          <w:highlight w:val="none"/>
          <w:lang w:val="en-US" w:eastAsia="zh-CN" w:bidi="ar-SA"/>
        </w:rPr>
        <w:t>元[其中</w:t>
      </w:r>
      <w:r>
        <w:rPr>
          <w:rFonts w:hint="eastAsia" w:hAnsi="宋体" w:cs="Times New Roman"/>
          <w:b w:val="0"/>
          <w:color w:val="auto"/>
          <w:kern w:val="0"/>
          <w:sz w:val="24"/>
          <w:szCs w:val="24"/>
          <w:highlight w:val="none"/>
          <w:lang w:val="en-US" w:eastAsia="zh-CN" w:bidi="ar-SA"/>
        </w:rPr>
        <w:t>：</w:t>
      </w:r>
      <w:r>
        <w:rPr>
          <w:rFonts w:hint="eastAsia" w:ascii="宋体" w:hAnsi="宋体" w:eastAsia="宋体" w:cs="Times New Roman"/>
          <w:b w:val="0"/>
          <w:color w:val="auto"/>
          <w:kern w:val="0"/>
          <w:sz w:val="24"/>
          <w:szCs w:val="24"/>
          <w:highlight w:val="none"/>
          <w:lang w:val="en-US" w:eastAsia="zh-CN" w:bidi="ar-SA"/>
        </w:rPr>
        <w:t>A包：2023年度公开招聘编内人员命题委托服务项目：136000.00元</w:t>
      </w:r>
      <w:r>
        <w:rPr>
          <w:rFonts w:hint="eastAsia" w:hAnsi="宋体" w:cs="Times New Roman"/>
          <w:b w:val="0"/>
          <w:color w:val="auto"/>
          <w:kern w:val="0"/>
          <w:sz w:val="24"/>
          <w:szCs w:val="24"/>
          <w:highlight w:val="none"/>
          <w:lang w:val="en-US" w:eastAsia="zh-CN" w:bidi="ar-SA"/>
        </w:rPr>
        <w:t>，</w:t>
      </w:r>
      <w:r>
        <w:rPr>
          <w:rFonts w:hint="eastAsia" w:ascii="宋体" w:hAnsi="宋体" w:eastAsia="宋体" w:cs="Times New Roman"/>
          <w:b w:val="0"/>
          <w:color w:val="auto"/>
          <w:kern w:val="0"/>
          <w:sz w:val="24"/>
          <w:szCs w:val="24"/>
          <w:highlight w:val="none"/>
          <w:lang w:val="en-US" w:eastAsia="zh-CN" w:bidi="ar-SA"/>
        </w:rPr>
        <w:t>B包：2023年度公开招聘编内人员考务委托服务项目：80000.00元]</w:t>
      </w:r>
      <w:r>
        <w:rPr>
          <w:rFonts w:hint="eastAsia" w:hAnsi="宋体" w:cs="Times New Roman"/>
          <w:b w:val="0"/>
          <w:color w:val="auto"/>
          <w:kern w:val="0"/>
          <w:sz w:val="24"/>
          <w:szCs w:val="24"/>
          <w:highlight w:val="none"/>
          <w:lang w:val="en-US" w:eastAsia="zh-CN" w:bidi="ar-SA"/>
        </w:rPr>
        <w:t>。</w:t>
      </w:r>
    </w:p>
    <w:p>
      <w:pPr>
        <w:spacing w:line="360" w:lineRule="auto"/>
        <w:ind w:firstLine="480" w:firstLineChars="200"/>
        <w:rPr>
          <w:rFonts w:hint="eastAsia" w:eastAsia="宋体"/>
          <w:color w:val="auto"/>
          <w:sz w:val="24"/>
          <w:highlight w:val="none"/>
          <w:lang w:eastAsia="zh-CN"/>
        </w:rPr>
      </w:pPr>
      <w:r>
        <w:rPr>
          <w:rFonts w:hint="eastAsia" w:hAnsi="宋体" w:cs="Times New Roman"/>
          <w:b w:val="0"/>
          <w:color w:val="auto"/>
          <w:kern w:val="0"/>
          <w:sz w:val="24"/>
          <w:szCs w:val="24"/>
          <w:highlight w:val="none"/>
          <w:lang w:val="en-US" w:eastAsia="zh-CN" w:bidi="ar-SA"/>
        </w:rPr>
        <w:t>5、</w:t>
      </w:r>
      <w:r>
        <w:rPr>
          <w:rFonts w:hint="eastAsia" w:ascii="宋体" w:hAnsi="宋体" w:eastAsia="宋体" w:cs="Times New Roman"/>
          <w:b w:val="0"/>
          <w:color w:val="auto"/>
          <w:kern w:val="0"/>
          <w:sz w:val="24"/>
          <w:szCs w:val="24"/>
          <w:highlight w:val="none"/>
          <w:lang w:val="en-US" w:eastAsia="zh-CN" w:bidi="ar-SA"/>
        </w:rPr>
        <w:t>最高限价：216</w:t>
      </w:r>
      <w:r>
        <w:rPr>
          <w:rFonts w:hint="eastAsia" w:hAnsi="宋体" w:cs="Times New Roman"/>
          <w:b w:val="0"/>
          <w:color w:val="auto"/>
          <w:kern w:val="0"/>
          <w:sz w:val="24"/>
          <w:szCs w:val="24"/>
          <w:highlight w:val="none"/>
          <w:lang w:val="en-US" w:eastAsia="zh-CN" w:bidi="ar-SA"/>
        </w:rPr>
        <w:t>000.00</w:t>
      </w:r>
      <w:r>
        <w:rPr>
          <w:rFonts w:hint="eastAsia" w:ascii="宋体" w:hAnsi="宋体" w:eastAsia="宋体" w:cs="Times New Roman"/>
          <w:b w:val="0"/>
          <w:color w:val="auto"/>
          <w:kern w:val="0"/>
          <w:sz w:val="24"/>
          <w:szCs w:val="24"/>
          <w:highlight w:val="none"/>
          <w:lang w:val="en-US" w:eastAsia="zh-CN" w:bidi="ar-SA"/>
        </w:rPr>
        <w:t>元[其中</w:t>
      </w:r>
      <w:r>
        <w:rPr>
          <w:rFonts w:hint="eastAsia" w:hAnsi="宋体" w:cs="Times New Roman"/>
          <w:b w:val="0"/>
          <w:color w:val="auto"/>
          <w:kern w:val="0"/>
          <w:sz w:val="24"/>
          <w:szCs w:val="24"/>
          <w:highlight w:val="none"/>
          <w:lang w:val="en-US" w:eastAsia="zh-CN" w:bidi="ar-SA"/>
        </w:rPr>
        <w:t>：</w:t>
      </w:r>
      <w:r>
        <w:rPr>
          <w:rFonts w:hint="eastAsia" w:ascii="宋体" w:hAnsi="宋体" w:eastAsia="宋体" w:cs="Times New Roman"/>
          <w:b w:val="0"/>
          <w:color w:val="auto"/>
          <w:kern w:val="0"/>
          <w:sz w:val="24"/>
          <w:szCs w:val="24"/>
          <w:highlight w:val="none"/>
          <w:lang w:val="en-US" w:eastAsia="zh-CN" w:bidi="ar-SA"/>
        </w:rPr>
        <w:t>A包：2023年度公开招聘编内人员命题委托服务项目：136000.00元</w:t>
      </w:r>
      <w:r>
        <w:rPr>
          <w:rFonts w:hint="eastAsia" w:hAnsi="宋体" w:cs="Times New Roman"/>
          <w:b w:val="0"/>
          <w:color w:val="auto"/>
          <w:kern w:val="0"/>
          <w:sz w:val="24"/>
          <w:szCs w:val="24"/>
          <w:highlight w:val="none"/>
          <w:lang w:val="en-US" w:eastAsia="zh-CN" w:bidi="ar-SA"/>
        </w:rPr>
        <w:t>，</w:t>
      </w:r>
      <w:r>
        <w:rPr>
          <w:rFonts w:hint="eastAsia" w:ascii="宋体" w:hAnsi="宋体" w:eastAsia="宋体" w:cs="Times New Roman"/>
          <w:b w:val="0"/>
          <w:color w:val="auto"/>
          <w:kern w:val="0"/>
          <w:sz w:val="24"/>
          <w:szCs w:val="24"/>
          <w:highlight w:val="none"/>
          <w:lang w:val="en-US" w:eastAsia="zh-CN" w:bidi="ar-SA"/>
        </w:rPr>
        <w:t>B包：2023年度公开招聘编内人员考务委托服务项目：80000.00元]</w:t>
      </w:r>
      <w:r>
        <w:rPr>
          <w:rFonts w:hint="eastAsia" w:hAnsi="宋体" w:cs="Times New Roman"/>
          <w:b w:val="0"/>
          <w:color w:val="auto"/>
          <w:kern w:val="0"/>
          <w:sz w:val="24"/>
          <w:szCs w:val="24"/>
          <w:highlight w:val="none"/>
          <w:lang w:val="en-US" w:eastAsia="zh-CN" w:bidi="ar-SA"/>
        </w:rPr>
        <w:t>。</w:t>
      </w:r>
    </w:p>
    <w:p>
      <w:pPr>
        <w:pStyle w:val="2"/>
        <w:keepNext w:val="0"/>
        <w:keepLines w:val="0"/>
        <w:pageBreakBefore w:val="0"/>
        <w:widowControl w:val="0"/>
        <w:tabs>
          <w:tab w:val="left" w:pos="2234"/>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Times New Roman" w:eastAsia="宋体" w:cs="Times New Roman"/>
          <w:color w:val="auto"/>
          <w:highlight w:val="none"/>
          <w:lang w:val="en-US" w:eastAsia="zh-CN"/>
        </w:rPr>
      </w:pPr>
      <w:r>
        <w:rPr>
          <w:rFonts w:hint="eastAsia" w:cs="Times New Roman"/>
          <w:color w:val="auto"/>
          <w:highlight w:val="none"/>
          <w:lang w:val="en-US" w:eastAsia="zh-CN"/>
        </w:rPr>
        <w:t>6、</w:t>
      </w:r>
      <w:r>
        <w:rPr>
          <w:rFonts w:hint="eastAsia" w:ascii="宋体" w:hAnsi="Times New Roman" w:eastAsia="宋体" w:cs="Times New Roman"/>
          <w:color w:val="auto"/>
          <w:highlight w:val="none"/>
          <w:lang w:val="en-US" w:eastAsia="zh-CN"/>
        </w:rPr>
        <w:t>资金来源：</w:t>
      </w:r>
      <w:r>
        <w:rPr>
          <w:rFonts w:hint="eastAsia" w:cs="Times New Roman"/>
          <w:color w:val="auto"/>
          <w:highlight w:val="none"/>
          <w:lang w:val="en-US" w:eastAsia="zh-CN"/>
        </w:rPr>
        <w:t>自筹</w:t>
      </w:r>
      <w:r>
        <w:rPr>
          <w:rFonts w:hint="eastAsia" w:ascii="宋体" w:hAnsi="Times New Roman" w:eastAsia="宋体" w:cs="Times New Roman"/>
          <w:color w:val="auto"/>
          <w:highlight w:val="none"/>
          <w:lang w:val="en-US" w:eastAsia="zh-CN"/>
        </w:rPr>
        <w:t>资金</w:t>
      </w:r>
    </w:p>
    <w:p>
      <w:pPr>
        <w:pStyle w:val="2"/>
        <w:keepNext w:val="0"/>
        <w:keepLines w:val="0"/>
        <w:pageBreakBefore w:val="0"/>
        <w:widowControl w:val="0"/>
        <w:tabs>
          <w:tab w:val="left" w:pos="2234"/>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Times New Roman" w:eastAsia="宋体" w:cs="Times New Roman"/>
          <w:color w:val="auto"/>
          <w:highlight w:val="none"/>
          <w:lang w:val="en-US" w:eastAsia="zh-CN"/>
        </w:rPr>
      </w:pPr>
      <w:r>
        <w:rPr>
          <w:rFonts w:hint="eastAsia" w:cs="Times New Roman"/>
          <w:color w:val="auto"/>
          <w:highlight w:val="none"/>
          <w:lang w:val="en-US" w:eastAsia="zh-CN"/>
        </w:rPr>
        <w:t>7、</w:t>
      </w:r>
      <w:r>
        <w:rPr>
          <w:rFonts w:hint="eastAsia" w:ascii="宋体" w:hAnsi="Times New Roman" w:eastAsia="宋体" w:cs="Times New Roman"/>
          <w:color w:val="auto"/>
          <w:highlight w:val="none"/>
          <w:lang w:val="en-US" w:eastAsia="zh-CN"/>
        </w:rPr>
        <w:t>采购需求：</w:t>
      </w:r>
      <w:r>
        <w:rPr>
          <w:rFonts w:hint="eastAsia" w:cs="Times New Roman"/>
          <w:color w:val="auto"/>
          <w:highlight w:val="none"/>
          <w:lang w:val="en-US" w:eastAsia="zh-CN"/>
        </w:rPr>
        <w:t>详见</w:t>
      </w:r>
      <w:r>
        <w:rPr>
          <w:rFonts w:hint="eastAsia" w:ascii="宋体" w:hAnsi="Times New Roman" w:eastAsia="宋体" w:cs="Times New Roman"/>
          <w:color w:val="auto"/>
          <w:highlight w:val="none"/>
          <w:lang w:val="en-US" w:eastAsia="zh-CN"/>
        </w:rPr>
        <w:t>“采购需求书”</w:t>
      </w:r>
    </w:p>
    <w:p>
      <w:pPr>
        <w:pStyle w:val="2"/>
        <w:keepNext w:val="0"/>
        <w:keepLines w:val="0"/>
        <w:pageBreakBefore w:val="0"/>
        <w:widowControl w:val="0"/>
        <w:tabs>
          <w:tab w:val="left" w:pos="2234"/>
        </w:tabs>
        <w:kinsoku/>
        <w:wordWrap/>
        <w:overflowPunct/>
        <w:topLinePunct w:val="0"/>
        <w:autoSpaceDE w:val="0"/>
        <w:autoSpaceDN w:val="0"/>
        <w:bidi w:val="0"/>
        <w:adjustRightInd w:val="0"/>
        <w:snapToGrid/>
        <w:spacing w:line="360" w:lineRule="auto"/>
        <w:ind w:firstLine="480" w:firstLineChars="200"/>
        <w:textAlignment w:val="auto"/>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8、合同履行期限（服务期）：自合同签订之日起60日历天；</w:t>
      </w:r>
    </w:p>
    <w:p>
      <w:pPr>
        <w:shd w:val="clear" w:color="auto" w:fill="auto"/>
        <w:spacing w:line="360" w:lineRule="auto"/>
        <w:ind w:firstLine="480" w:firstLineChars="200"/>
        <w:rPr>
          <w:rFonts w:hint="eastAsia" w:hAnsi="宋体"/>
          <w:color w:val="auto"/>
          <w:sz w:val="24"/>
          <w:szCs w:val="24"/>
          <w:highlight w:val="none"/>
          <w:lang w:eastAsia="zh-CN"/>
        </w:rPr>
      </w:pPr>
      <w:r>
        <w:rPr>
          <w:rFonts w:hint="eastAsia" w:hAnsi="宋体"/>
          <w:color w:val="auto"/>
          <w:sz w:val="24"/>
          <w:szCs w:val="24"/>
          <w:highlight w:val="none"/>
          <w:lang w:val="en-US" w:eastAsia="zh-CN"/>
        </w:rPr>
        <w:t>9、服务地点（履行地点）：签订合同时与采购人根据需求确定合同服务地点</w:t>
      </w:r>
      <w:r>
        <w:rPr>
          <w:rFonts w:hint="eastAsia" w:hAnsi="宋体"/>
          <w:color w:val="auto"/>
          <w:sz w:val="24"/>
          <w:szCs w:val="24"/>
          <w:highlight w:val="none"/>
          <w:lang w:eastAsia="zh-CN"/>
        </w:rPr>
        <w:t>。</w:t>
      </w:r>
      <w:bookmarkStart w:id="7" w:name="_Toc28359013"/>
      <w:bookmarkStart w:id="8" w:name="_Toc28359090"/>
      <w:bookmarkStart w:id="9" w:name="_Toc35393799"/>
      <w:bookmarkStart w:id="10" w:name="_Toc35393630"/>
    </w:p>
    <w:p>
      <w:pPr>
        <w:shd w:val="clear" w:color="auto" w:fill="auto"/>
        <w:spacing w:line="360" w:lineRule="auto"/>
        <w:ind w:firstLine="482" w:firstLineChars="200"/>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项目分包情况：本次采购分为2个包，分别为：A包、B包。投标人均可参与全部包次的投标，但投标人只能中其中一个包号，每个包的中标人不能重复。若投标人参与全部包号投标，且同时中标两个包号的需在投标文件中做出承诺（格式详见</w:t>
      </w:r>
      <w:r>
        <w:rPr>
          <w:rFonts w:hint="eastAsia" w:ascii="宋体" w:hAnsi="宋体" w:eastAsia="宋体" w:cs="宋体"/>
          <w:b/>
          <w:bCs/>
          <w:color w:val="auto"/>
          <w:sz w:val="24"/>
          <w:szCs w:val="24"/>
          <w:highlight w:val="none"/>
          <w:lang w:val="en-US" w:eastAsia="zh-CN"/>
        </w:rPr>
        <w:t>响应文件模板</w:t>
      </w:r>
      <w:r>
        <w:rPr>
          <w:rFonts w:hint="eastAsia" w:ascii="宋体" w:hAnsi="宋体" w:eastAsia="宋体" w:cs="宋体"/>
          <w:b/>
          <w:bCs/>
          <w:color w:val="auto"/>
          <w:sz w:val="24"/>
          <w:szCs w:val="24"/>
          <w:highlight w:val="none"/>
        </w:rPr>
        <w:t>），确定优先选择中标包号并自愿放弃所中的另一个包，未作出承诺则按照包号顺序确定中标包号，其余中标包号顺延给第二中标候选人，以此类推。</w:t>
      </w:r>
    </w:p>
    <w:p>
      <w:pPr>
        <w:pStyle w:val="4"/>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bookmarkEnd w:id="7"/>
      <w:bookmarkEnd w:id="8"/>
      <w:bookmarkEnd w:id="9"/>
      <w:bookmarkEnd w:id="10"/>
    </w:p>
    <w:p>
      <w:pPr>
        <w:spacing w:line="360" w:lineRule="auto"/>
        <w:ind w:firstLine="480" w:firstLineChars="200"/>
        <w:rPr>
          <w:rFonts w:hAnsi="宋体"/>
          <w:b/>
          <w:bCs/>
          <w:color w:val="auto"/>
          <w:sz w:val="24"/>
          <w:szCs w:val="24"/>
          <w:highlight w:val="none"/>
        </w:rPr>
      </w:pPr>
      <w:bookmarkStart w:id="11" w:name="_Toc28359091"/>
      <w:bookmarkStart w:id="12" w:name="_Toc28359014"/>
      <w:r>
        <w:rPr>
          <w:rFonts w:hint="eastAsia" w:hAnsi="宋体"/>
          <w:color w:val="auto"/>
          <w:sz w:val="24"/>
          <w:szCs w:val="24"/>
          <w:highlight w:val="none"/>
        </w:rPr>
        <w:t>1.</w:t>
      </w:r>
      <w:r>
        <w:rPr>
          <w:rFonts w:hint="eastAsia" w:hAnsi="宋体"/>
          <w:b/>
          <w:bCs/>
          <w:color w:val="auto"/>
          <w:sz w:val="24"/>
          <w:szCs w:val="24"/>
          <w:highlight w:val="none"/>
        </w:rPr>
        <w:t>满足《中华人民共和国政府采购法》第二十二条规定：</w:t>
      </w:r>
    </w:p>
    <w:p>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1.1具有独立承担民事责任能力；（需提供有效的营业执照副本或其他证明材料复印件</w:t>
      </w:r>
      <w:r>
        <w:rPr>
          <w:rFonts w:hint="eastAsia" w:hAnsi="宋体" w:cs="宋体"/>
          <w:color w:val="auto"/>
          <w:sz w:val="24"/>
          <w:szCs w:val="24"/>
          <w:highlight w:val="none"/>
          <w:lang w:val="en-US" w:eastAsia="zh-CN"/>
        </w:rPr>
        <w:t>加盖公章</w:t>
      </w:r>
      <w:r>
        <w:rPr>
          <w:rFonts w:hint="eastAsia" w:hAnsi="宋体" w:cs="宋体"/>
          <w:color w:val="auto"/>
          <w:sz w:val="24"/>
          <w:szCs w:val="24"/>
          <w:highlight w:val="none"/>
        </w:rPr>
        <w:t>）；</w:t>
      </w:r>
    </w:p>
    <w:p>
      <w:pPr>
        <w:widowControl/>
        <w:shd w:val="clear" w:color="auto" w:fill="FFFFFF"/>
        <w:wordWrap w:val="0"/>
        <w:spacing w:line="360" w:lineRule="auto"/>
        <w:ind w:firstLine="420"/>
        <w:jc w:val="left"/>
        <w:rPr>
          <w:rFonts w:hint="eastAsia" w:hAnsi="宋体" w:cs="宋体"/>
          <w:color w:val="auto"/>
          <w:sz w:val="24"/>
          <w:szCs w:val="24"/>
          <w:highlight w:val="none"/>
        </w:rPr>
      </w:pPr>
      <w:r>
        <w:rPr>
          <w:rFonts w:hint="eastAsia" w:hAnsi="宋体" w:cs="宋体"/>
          <w:color w:val="auto"/>
          <w:sz w:val="24"/>
          <w:szCs w:val="24"/>
          <w:highlight w:val="none"/>
        </w:rPr>
        <w:t>1.2具有良好的商业信誉和健全的财务会计制度；（提供声明函</w:t>
      </w:r>
      <w:r>
        <w:rPr>
          <w:rFonts w:hint="eastAsia" w:hAnsi="宋体" w:cs="宋体"/>
          <w:color w:val="auto"/>
          <w:sz w:val="24"/>
          <w:szCs w:val="24"/>
          <w:highlight w:val="none"/>
          <w:lang w:val="en-US" w:eastAsia="zh-CN"/>
        </w:rPr>
        <w:t>加盖公章</w:t>
      </w:r>
      <w:r>
        <w:rPr>
          <w:rFonts w:hint="eastAsia" w:hAnsi="宋体" w:cs="宋体"/>
          <w:color w:val="auto"/>
          <w:sz w:val="24"/>
          <w:szCs w:val="24"/>
          <w:highlight w:val="none"/>
        </w:rPr>
        <w:t>，格式自拟）；</w:t>
      </w:r>
    </w:p>
    <w:p>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1.3具有履行合同所必需的设备和专业技术能力；（提供声明函</w:t>
      </w:r>
      <w:r>
        <w:rPr>
          <w:rFonts w:hint="eastAsia" w:hAnsi="宋体" w:cs="宋体"/>
          <w:color w:val="auto"/>
          <w:sz w:val="24"/>
          <w:szCs w:val="24"/>
          <w:highlight w:val="none"/>
          <w:lang w:val="en-US" w:eastAsia="zh-CN"/>
        </w:rPr>
        <w:t>加盖公章</w:t>
      </w:r>
      <w:r>
        <w:rPr>
          <w:rFonts w:hint="eastAsia" w:hAnsi="宋体" w:cs="宋体"/>
          <w:color w:val="auto"/>
          <w:sz w:val="24"/>
          <w:szCs w:val="24"/>
          <w:highlight w:val="none"/>
        </w:rPr>
        <w:t>，格式自拟）；</w:t>
      </w:r>
    </w:p>
    <w:p>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1.4有依法缴纳税收和社会保障资金的良好记录：（提供声明函</w:t>
      </w:r>
      <w:r>
        <w:rPr>
          <w:rFonts w:hint="eastAsia" w:hAnsi="宋体" w:cs="宋体"/>
          <w:color w:val="auto"/>
          <w:sz w:val="24"/>
          <w:szCs w:val="24"/>
          <w:highlight w:val="none"/>
          <w:lang w:val="en-US" w:eastAsia="zh-CN"/>
        </w:rPr>
        <w:t>加盖公章</w:t>
      </w:r>
      <w:r>
        <w:rPr>
          <w:rFonts w:hint="eastAsia" w:hAnsi="宋体" w:cs="宋体"/>
          <w:color w:val="auto"/>
          <w:sz w:val="24"/>
          <w:szCs w:val="24"/>
          <w:highlight w:val="none"/>
        </w:rPr>
        <w:t>，格式自拟）；</w:t>
      </w:r>
    </w:p>
    <w:p>
      <w:pPr>
        <w:spacing w:line="360" w:lineRule="auto"/>
        <w:ind w:firstLine="480" w:firstLineChars="200"/>
        <w:rPr>
          <w:rFonts w:hint="default" w:ascii="宋体" w:hAnsi="宋体" w:eastAsia="宋体" w:cs="宋体"/>
          <w:color w:val="auto"/>
          <w:sz w:val="24"/>
          <w:szCs w:val="24"/>
          <w:highlight w:val="none"/>
          <w:lang w:val="en-US" w:eastAsia="zh-CN" w:bidi="ar-SA"/>
        </w:rPr>
      </w:pPr>
      <w:r>
        <w:rPr>
          <w:rFonts w:hint="eastAsia" w:hAnsi="宋体" w:cs="宋体"/>
          <w:color w:val="auto"/>
          <w:sz w:val="24"/>
          <w:szCs w:val="24"/>
          <w:highlight w:val="none"/>
        </w:rPr>
        <w:t>1.5参加政府采购活动前三年内，在经营活动中没有重大违法记录；（提供声明函</w:t>
      </w:r>
      <w:r>
        <w:rPr>
          <w:rFonts w:hint="eastAsia" w:hAnsi="宋体" w:cs="宋体"/>
          <w:color w:val="auto"/>
          <w:sz w:val="24"/>
          <w:szCs w:val="24"/>
          <w:highlight w:val="none"/>
          <w:lang w:val="en-US" w:eastAsia="zh-CN"/>
        </w:rPr>
        <w:t>加盖公章</w:t>
      </w:r>
      <w:r>
        <w:rPr>
          <w:rFonts w:hint="eastAsia" w:hAnsi="宋体" w:cs="宋体"/>
          <w:color w:val="auto"/>
          <w:sz w:val="24"/>
          <w:szCs w:val="24"/>
          <w:highlight w:val="none"/>
        </w:rPr>
        <w:t>，格式自拟）；</w:t>
      </w:r>
    </w:p>
    <w:p>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未被列入中国执行信息公开网（zxgk.court.gov.cn）的“失信被执行人”、信用中国网站(www.creditchina.gov.cn)的 “重大税收违法失信主体”、“政府采购严重违法失信名单”和中国政府采购网(www.ccgp.gov.cn) 的“政府采购严重违法失信行为记录名单”的供应商（提供网页查询结果截图加盖公章）；</w:t>
      </w:r>
    </w:p>
    <w:p>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2、单位负责人为同一人或者存在直接控股、管理关系的不同投标人，不得参加同一合同项下的政府采购活动；（提供声明函</w:t>
      </w:r>
      <w:r>
        <w:rPr>
          <w:rFonts w:hint="eastAsia" w:hAnsi="宋体" w:cs="宋体"/>
          <w:color w:val="auto"/>
          <w:sz w:val="24"/>
          <w:szCs w:val="24"/>
          <w:highlight w:val="none"/>
          <w:lang w:val="en-US" w:eastAsia="zh-CN"/>
        </w:rPr>
        <w:t>加盖公章</w:t>
      </w:r>
      <w:r>
        <w:rPr>
          <w:rFonts w:hint="eastAsia" w:hAnsi="宋体" w:cs="宋体"/>
          <w:color w:val="auto"/>
          <w:sz w:val="24"/>
          <w:szCs w:val="24"/>
          <w:highlight w:val="none"/>
        </w:rPr>
        <w:t>，格式自拟）</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3、本次招标不接受联合体投标；（提供声明函</w:t>
      </w:r>
      <w:r>
        <w:rPr>
          <w:rFonts w:hint="eastAsia" w:hAnsi="宋体" w:cs="宋体"/>
          <w:color w:val="auto"/>
          <w:sz w:val="24"/>
          <w:szCs w:val="24"/>
          <w:highlight w:val="none"/>
          <w:lang w:val="en-US" w:eastAsia="zh-CN"/>
        </w:rPr>
        <w:t>加盖公章</w:t>
      </w:r>
      <w:r>
        <w:rPr>
          <w:rFonts w:hint="eastAsia" w:hAnsi="宋体" w:cs="宋体"/>
          <w:color w:val="auto"/>
          <w:sz w:val="24"/>
          <w:szCs w:val="24"/>
          <w:highlight w:val="none"/>
        </w:rPr>
        <w:t>，格式自拟）</w:t>
      </w:r>
    </w:p>
    <w:p>
      <w:pPr>
        <w:numPr>
          <w:ilvl w:val="0"/>
          <w:numId w:val="0"/>
        </w:numPr>
        <w:spacing w:line="360" w:lineRule="auto"/>
        <w:ind w:firstLine="482" w:firstLineChars="200"/>
        <w:rPr>
          <w:rFonts w:hint="eastAsia"/>
          <w:color w:val="auto"/>
          <w:highlight w:val="none"/>
        </w:rPr>
      </w:pPr>
      <w:bookmarkStart w:id="13" w:name="_Toc35393631"/>
      <w:bookmarkStart w:id="14" w:name="_Toc35393800"/>
      <w:r>
        <w:rPr>
          <w:rFonts w:hint="eastAsia" w:hAnsi="宋体"/>
          <w:b/>
          <w:bCs/>
          <w:color w:val="auto"/>
          <w:sz w:val="24"/>
          <w:szCs w:val="24"/>
          <w:highlight w:val="none"/>
          <w:lang w:val="en-US" w:eastAsia="zh-CN"/>
        </w:rPr>
        <w:t>4、</w:t>
      </w:r>
      <w:r>
        <w:rPr>
          <w:rFonts w:hint="eastAsia" w:hAnsi="宋体"/>
          <w:b/>
          <w:bCs/>
          <w:color w:val="auto"/>
          <w:sz w:val="24"/>
          <w:szCs w:val="24"/>
          <w:highlight w:val="none"/>
        </w:rPr>
        <w:t>落实政府采购政策</w:t>
      </w:r>
      <w:r>
        <w:rPr>
          <w:rFonts w:hint="eastAsia" w:hAnsi="宋体"/>
          <w:color w:val="auto"/>
          <w:sz w:val="24"/>
          <w:szCs w:val="24"/>
          <w:highlight w:val="none"/>
        </w:rPr>
        <w:t>：</w:t>
      </w:r>
      <w:r>
        <w:rPr>
          <w:rFonts w:hint="eastAsia" w:ascii="宋体" w:hAnsi="宋体" w:eastAsia="宋体" w:cs="Times New Roman"/>
          <w:color w:val="auto"/>
          <w:sz w:val="24"/>
          <w:szCs w:val="24"/>
          <w:highlight w:val="none"/>
        </w:rPr>
        <w:t>《政府采购促进中小企业发展管理办法》、《关于促进残疾人就业政府采购政策的通知》、《财政部 司法部关于政府采购支持监狱企业发展有关问题的通知》、《节能产品政府采购实施意见》、《关于环境标志产品政府采购实施的意见》、《关于信息安全产品实施政府采购的通知》。</w:t>
      </w:r>
    </w:p>
    <w:p>
      <w:pPr>
        <w:pStyle w:val="4"/>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bookmarkEnd w:id="11"/>
      <w:bookmarkEnd w:id="12"/>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bookmarkStart w:id="15" w:name="_Toc35393632"/>
      <w:bookmarkStart w:id="16" w:name="_Toc28359092"/>
      <w:bookmarkStart w:id="17" w:name="_Toc28359015"/>
      <w:bookmarkStart w:id="18" w:name="_Toc35393801"/>
      <w:r>
        <w:rPr>
          <w:rFonts w:hint="eastAsia" w:ascii="宋体" w:hAnsi="宋体" w:eastAsia="宋体" w:cs="Times New Roman"/>
          <w:color w:val="auto"/>
          <w:sz w:val="24"/>
          <w:szCs w:val="24"/>
          <w:highlight w:val="none"/>
        </w:rPr>
        <w:t>1、获取磋商文件时间：</w:t>
      </w:r>
      <w:r>
        <w:rPr>
          <w:rFonts w:hint="eastAsia" w:hAnsi="宋体"/>
          <w:color w:val="auto"/>
          <w:sz w:val="24"/>
          <w:szCs w:val="24"/>
          <w:highlight w:val="none"/>
        </w:rPr>
        <w:t>202</w:t>
      </w:r>
      <w:r>
        <w:rPr>
          <w:rFonts w:hint="eastAsia" w:hAnsi="宋体"/>
          <w:color w:val="auto"/>
          <w:sz w:val="24"/>
          <w:szCs w:val="24"/>
          <w:highlight w:val="none"/>
          <w:lang w:val="en-US" w:eastAsia="zh-CN"/>
        </w:rPr>
        <w:t>4</w:t>
      </w:r>
      <w:r>
        <w:rPr>
          <w:rFonts w:hint="eastAsia" w:hAnsi="宋体"/>
          <w:color w:val="auto"/>
          <w:sz w:val="24"/>
          <w:szCs w:val="24"/>
          <w:highlight w:val="none"/>
        </w:rPr>
        <w:t>年</w:t>
      </w:r>
      <w:r>
        <w:rPr>
          <w:rFonts w:hint="eastAsia" w:hAnsi="宋体"/>
          <w:color w:val="auto"/>
          <w:sz w:val="24"/>
          <w:szCs w:val="24"/>
          <w:highlight w:val="none"/>
          <w:lang w:val="en-US" w:eastAsia="zh-CN"/>
        </w:rPr>
        <w:t>2</w:t>
      </w:r>
      <w:r>
        <w:rPr>
          <w:rFonts w:hint="eastAsia" w:hAnsi="宋体"/>
          <w:color w:val="auto"/>
          <w:sz w:val="24"/>
          <w:szCs w:val="24"/>
          <w:highlight w:val="none"/>
        </w:rPr>
        <w:t>月</w:t>
      </w:r>
      <w:r>
        <w:rPr>
          <w:rFonts w:hint="eastAsia" w:hAnsi="宋体"/>
          <w:color w:val="auto"/>
          <w:sz w:val="24"/>
          <w:szCs w:val="24"/>
          <w:highlight w:val="none"/>
          <w:lang w:val="en-US" w:eastAsia="zh-CN"/>
        </w:rPr>
        <w:t>19</w:t>
      </w:r>
      <w:r>
        <w:rPr>
          <w:rFonts w:hint="eastAsia" w:hAnsi="宋体"/>
          <w:color w:val="auto"/>
          <w:sz w:val="24"/>
          <w:szCs w:val="24"/>
          <w:highlight w:val="none"/>
        </w:rPr>
        <w:t>日至202</w:t>
      </w:r>
      <w:r>
        <w:rPr>
          <w:rFonts w:hint="eastAsia" w:hAnsi="宋体"/>
          <w:color w:val="auto"/>
          <w:sz w:val="24"/>
          <w:szCs w:val="24"/>
          <w:highlight w:val="none"/>
          <w:lang w:val="en-US" w:eastAsia="zh-CN"/>
        </w:rPr>
        <w:t>4</w:t>
      </w:r>
      <w:r>
        <w:rPr>
          <w:rFonts w:hint="eastAsia" w:hAnsi="宋体"/>
          <w:color w:val="auto"/>
          <w:sz w:val="24"/>
          <w:szCs w:val="24"/>
          <w:highlight w:val="none"/>
        </w:rPr>
        <w:t>年</w:t>
      </w:r>
      <w:r>
        <w:rPr>
          <w:rFonts w:hint="eastAsia" w:hAnsi="宋体"/>
          <w:color w:val="auto"/>
          <w:sz w:val="24"/>
          <w:szCs w:val="24"/>
          <w:highlight w:val="none"/>
          <w:lang w:val="en-US" w:eastAsia="zh-CN"/>
        </w:rPr>
        <w:t>2</w:t>
      </w:r>
      <w:r>
        <w:rPr>
          <w:rFonts w:hint="eastAsia" w:hAnsi="宋体"/>
          <w:color w:val="auto"/>
          <w:sz w:val="24"/>
          <w:szCs w:val="24"/>
          <w:highlight w:val="none"/>
        </w:rPr>
        <w:t>月</w:t>
      </w:r>
      <w:r>
        <w:rPr>
          <w:rFonts w:hint="eastAsia" w:hAnsi="宋体"/>
          <w:color w:val="auto"/>
          <w:sz w:val="24"/>
          <w:szCs w:val="24"/>
          <w:highlight w:val="none"/>
          <w:lang w:val="en-US" w:eastAsia="zh-CN"/>
        </w:rPr>
        <w:t>23</w:t>
      </w:r>
      <w:r>
        <w:rPr>
          <w:rFonts w:hint="eastAsia" w:hAnsi="宋体"/>
          <w:color w:val="auto"/>
          <w:sz w:val="24"/>
          <w:szCs w:val="24"/>
          <w:highlight w:val="none"/>
        </w:rPr>
        <w:t>日(法定公休日、法定节假日除外) 上午9:00～12:00，下午15:00～17:00（北京时间，下同）</w:t>
      </w:r>
      <w:r>
        <w:rPr>
          <w:rFonts w:hint="eastAsia" w:ascii="宋体" w:hAnsi="宋体"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2、获取磋商文件地点：海口市蓝天路名门广场北区B(6-9)1909室。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3、获取磋商文件方式：</w:t>
      </w:r>
      <w:r>
        <w:rPr>
          <w:rFonts w:hint="eastAsia" w:hAnsi="宋体"/>
          <w:color w:val="auto"/>
          <w:sz w:val="24"/>
          <w:szCs w:val="24"/>
          <w:highlight w:val="none"/>
        </w:rPr>
        <w:t>现场报名购买（购买时需提交的材料：营业执照复印件、法定代表人证明书/法定代表人授权委托书（原件）、法定代表人身份证、授权代理人身份证等证明材料加盖公章。）</w:t>
      </w:r>
      <w:r>
        <w:rPr>
          <w:rFonts w:hint="eastAsia" w:ascii="宋体" w:hAnsi="宋体"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 xml:space="preserve">本竞争性磋商文件售价为 </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00 元人民币，售后不退。</w:t>
      </w:r>
    </w:p>
    <w:bookmarkEnd w:id="15"/>
    <w:bookmarkEnd w:id="16"/>
    <w:bookmarkEnd w:id="17"/>
    <w:bookmarkEnd w:id="18"/>
    <w:p>
      <w:pPr>
        <w:spacing w:line="560" w:lineRule="exact"/>
        <w:rPr>
          <w:rFonts w:hAnsi="宋体"/>
          <w:b/>
          <w:bCs/>
          <w:color w:val="auto"/>
          <w:sz w:val="24"/>
          <w:szCs w:val="24"/>
          <w:highlight w:val="none"/>
        </w:rPr>
      </w:pPr>
      <w:bookmarkStart w:id="19" w:name="_Toc28359017"/>
      <w:bookmarkStart w:id="20" w:name="_Toc35393634"/>
      <w:bookmarkStart w:id="21" w:name="_Toc28359094"/>
      <w:bookmarkStart w:id="22" w:name="_Toc35393803"/>
      <w:r>
        <w:rPr>
          <w:rFonts w:hint="eastAsia" w:hAnsi="宋体"/>
          <w:b/>
          <w:bCs/>
          <w:color w:val="auto"/>
          <w:sz w:val="24"/>
          <w:szCs w:val="24"/>
          <w:highlight w:val="none"/>
        </w:rPr>
        <w:t>四、投标截止时间、磋商时间及地点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1、递交磋商响应文件截止时间：</w:t>
      </w:r>
      <w:r>
        <w:rPr>
          <w:rFonts w:hint="eastAsia" w:hAnsi="宋体"/>
          <w:color w:val="auto"/>
          <w:sz w:val="24"/>
          <w:szCs w:val="24"/>
          <w:highlight w:val="none"/>
          <w:u w:val="single"/>
        </w:rPr>
        <w:t>202</w:t>
      </w:r>
      <w:r>
        <w:rPr>
          <w:rFonts w:hint="eastAsia" w:hAnsi="宋体"/>
          <w:color w:val="auto"/>
          <w:sz w:val="24"/>
          <w:szCs w:val="24"/>
          <w:highlight w:val="none"/>
          <w:u w:val="single"/>
          <w:lang w:val="en-US" w:eastAsia="zh-CN"/>
        </w:rPr>
        <w:t>4</w:t>
      </w:r>
      <w:r>
        <w:rPr>
          <w:rFonts w:hint="eastAsia" w:hAnsi="宋体"/>
          <w:color w:val="auto"/>
          <w:sz w:val="24"/>
          <w:szCs w:val="24"/>
          <w:highlight w:val="none"/>
          <w:u w:val="single"/>
        </w:rPr>
        <w:t>年</w:t>
      </w:r>
      <w:r>
        <w:rPr>
          <w:rFonts w:hint="eastAsia" w:hAnsi="宋体"/>
          <w:color w:val="auto"/>
          <w:sz w:val="24"/>
          <w:szCs w:val="24"/>
          <w:highlight w:val="none"/>
          <w:u w:val="single"/>
          <w:lang w:val="en-US" w:eastAsia="zh-CN"/>
        </w:rPr>
        <w:t>2</w:t>
      </w:r>
      <w:r>
        <w:rPr>
          <w:rFonts w:hint="eastAsia" w:hAnsi="宋体"/>
          <w:color w:val="auto"/>
          <w:sz w:val="24"/>
          <w:szCs w:val="24"/>
          <w:highlight w:val="none"/>
          <w:u w:val="single"/>
        </w:rPr>
        <w:t>月</w:t>
      </w:r>
      <w:r>
        <w:rPr>
          <w:rFonts w:hint="eastAsia" w:hAnsi="宋体"/>
          <w:bCs/>
          <w:color w:val="auto"/>
          <w:sz w:val="24"/>
          <w:szCs w:val="24"/>
          <w:highlight w:val="none"/>
          <w:u w:val="single"/>
          <w:lang w:val="en-US" w:eastAsia="zh-CN"/>
        </w:rPr>
        <w:t>29</w:t>
      </w:r>
      <w:r>
        <w:rPr>
          <w:rFonts w:hint="eastAsia" w:hAnsi="宋体"/>
          <w:bCs/>
          <w:color w:val="auto"/>
          <w:sz w:val="24"/>
          <w:szCs w:val="24"/>
          <w:highlight w:val="none"/>
          <w:u w:val="single"/>
        </w:rPr>
        <w:t>日</w:t>
      </w:r>
      <w:r>
        <w:rPr>
          <w:rFonts w:hint="eastAsia" w:hAnsi="宋体"/>
          <w:bCs/>
          <w:color w:val="auto"/>
          <w:sz w:val="24"/>
          <w:szCs w:val="24"/>
          <w:highlight w:val="none"/>
          <w:u w:val="single"/>
          <w:lang w:val="en-US" w:eastAsia="zh-CN"/>
        </w:rPr>
        <w:t>9</w:t>
      </w:r>
      <w:r>
        <w:rPr>
          <w:rFonts w:hint="eastAsia" w:hAnsi="宋体"/>
          <w:bCs/>
          <w:color w:val="auto"/>
          <w:sz w:val="24"/>
          <w:szCs w:val="24"/>
          <w:highlight w:val="none"/>
          <w:u w:val="single"/>
        </w:rPr>
        <w:t>点</w:t>
      </w:r>
      <w:r>
        <w:rPr>
          <w:rFonts w:hint="eastAsia" w:hAnsi="宋体"/>
          <w:bCs/>
          <w:color w:val="auto"/>
          <w:sz w:val="24"/>
          <w:szCs w:val="24"/>
          <w:highlight w:val="none"/>
          <w:u w:val="single"/>
          <w:lang w:val="en-US" w:eastAsia="zh-CN"/>
        </w:rPr>
        <w:t>30</w:t>
      </w:r>
      <w:r>
        <w:rPr>
          <w:rFonts w:hint="eastAsia" w:hAnsi="宋体"/>
          <w:bCs/>
          <w:color w:val="auto"/>
          <w:sz w:val="24"/>
          <w:szCs w:val="24"/>
          <w:highlight w:val="none"/>
          <w:u w:val="single"/>
        </w:rPr>
        <w:t>分</w:t>
      </w:r>
      <w:r>
        <w:rPr>
          <w:rFonts w:hint="eastAsia" w:ascii="宋体" w:hAnsi="宋体" w:eastAsia="宋体" w:cs="Times New Roman"/>
          <w:color w:val="auto"/>
          <w:sz w:val="24"/>
          <w:szCs w:val="24"/>
          <w:highlight w:val="none"/>
        </w:rPr>
        <w:t>（北京时间，下同）；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2、磋商时间：</w:t>
      </w:r>
      <w:r>
        <w:rPr>
          <w:rFonts w:hint="eastAsia" w:hAnsi="宋体"/>
          <w:color w:val="auto"/>
          <w:sz w:val="24"/>
          <w:szCs w:val="24"/>
          <w:highlight w:val="none"/>
          <w:u w:val="single"/>
        </w:rPr>
        <w:t>202</w:t>
      </w:r>
      <w:r>
        <w:rPr>
          <w:rFonts w:hint="eastAsia" w:hAnsi="宋体"/>
          <w:color w:val="auto"/>
          <w:sz w:val="24"/>
          <w:szCs w:val="24"/>
          <w:highlight w:val="none"/>
          <w:u w:val="single"/>
          <w:lang w:val="en-US" w:eastAsia="zh-CN"/>
        </w:rPr>
        <w:t>4</w:t>
      </w:r>
      <w:r>
        <w:rPr>
          <w:rFonts w:hint="eastAsia" w:hAnsi="宋体"/>
          <w:color w:val="auto"/>
          <w:sz w:val="24"/>
          <w:szCs w:val="24"/>
          <w:highlight w:val="none"/>
          <w:u w:val="single"/>
        </w:rPr>
        <w:t>年</w:t>
      </w:r>
      <w:r>
        <w:rPr>
          <w:rFonts w:hint="eastAsia" w:hAnsi="宋体"/>
          <w:color w:val="auto"/>
          <w:sz w:val="24"/>
          <w:szCs w:val="24"/>
          <w:highlight w:val="none"/>
          <w:u w:val="single"/>
          <w:lang w:val="en-US" w:eastAsia="zh-CN"/>
        </w:rPr>
        <w:t>2</w:t>
      </w:r>
      <w:r>
        <w:rPr>
          <w:rFonts w:hint="eastAsia" w:hAnsi="宋体"/>
          <w:color w:val="auto"/>
          <w:sz w:val="24"/>
          <w:szCs w:val="24"/>
          <w:highlight w:val="none"/>
          <w:u w:val="single"/>
        </w:rPr>
        <w:t>月</w:t>
      </w:r>
      <w:r>
        <w:rPr>
          <w:rFonts w:hint="eastAsia" w:hAnsi="宋体"/>
          <w:color w:val="auto"/>
          <w:sz w:val="24"/>
          <w:szCs w:val="24"/>
          <w:highlight w:val="none"/>
          <w:u w:val="single"/>
          <w:lang w:val="en-US" w:eastAsia="zh-CN"/>
        </w:rPr>
        <w:t>29</w:t>
      </w:r>
      <w:r>
        <w:rPr>
          <w:rFonts w:hint="eastAsia" w:hAnsi="宋体"/>
          <w:bCs/>
          <w:color w:val="auto"/>
          <w:sz w:val="24"/>
          <w:szCs w:val="24"/>
          <w:highlight w:val="none"/>
          <w:u w:val="single"/>
        </w:rPr>
        <w:t>日</w:t>
      </w:r>
      <w:r>
        <w:rPr>
          <w:rFonts w:hint="eastAsia" w:hAnsi="宋体"/>
          <w:bCs/>
          <w:color w:val="auto"/>
          <w:sz w:val="24"/>
          <w:szCs w:val="24"/>
          <w:highlight w:val="none"/>
          <w:u w:val="single"/>
          <w:lang w:val="en-US" w:eastAsia="zh-CN"/>
        </w:rPr>
        <w:t>9</w:t>
      </w:r>
      <w:r>
        <w:rPr>
          <w:rFonts w:hint="eastAsia" w:hAnsi="宋体"/>
          <w:bCs/>
          <w:color w:val="auto"/>
          <w:sz w:val="24"/>
          <w:szCs w:val="24"/>
          <w:highlight w:val="none"/>
          <w:u w:val="single"/>
        </w:rPr>
        <w:t>点</w:t>
      </w:r>
      <w:r>
        <w:rPr>
          <w:rFonts w:hint="eastAsia" w:hAnsi="宋体"/>
          <w:bCs/>
          <w:color w:val="auto"/>
          <w:sz w:val="24"/>
          <w:szCs w:val="24"/>
          <w:highlight w:val="none"/>
          <w:u w:val="single"/>
          <w:lang w:val="en-US" w:eastAsia="zh-CN"/>
        </w:rPr>
        <w:t>30</w:t>
      </w:r>
      <w:r>
        <w:rPr>
          <w:rFonts w:hint="eastAsia" w:hAnsi="宋体"/>
          <w:bCs/>
          <w:color w:val="auto"/>
          <w:sz w:val="24"/>
          <w:szCs w:val="24"/>
          <w:highlight w:val="none"/>
          <w:u w:val="single"/>
        </w:rPr>
        <w:t>分</w:t>
      </w:r>
      <w:r>
        <w:rPr>
          <w:rFonts w:hint="eastAsia" w:ascii="宋体" w:hAnsi="宋体"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3、递交磋商响应文件及磋商地点:海南招采招标采购交易平台</w:t>
      </w:r>
      <w:r>
        <w:rPr>
          <w:rFonts w:hint="eastAsia" w:hAnsi="宋体"/>
          <w:color w:val="auto"/>
          <w:sz w:val="24"/>
          <w:szCs w:val="24"/>
          <w:highlight w:val="none"/>
        </w:rPr>
        <w:t>（海口市美兰区蓝天路51号京航大酒店5楼）</w:t>
      </w:r>
      <w:r>
        <w:rPr>
          <w:rFonts w:hint="eastAsia" w:hAnsi="宋体"/>
          <w:color w:val="auto"/>
          <w:sz w:val="24"/>
          <w:szCs w:val="24"/>
          <w:highlight w:val="none"/>
          <w:lang w:eastAsia="zh-CN"/>
        </w:rPr>
        <w:t>开标</w:t>
      </w:r>
      <w:r>
        <w:rPr>
          <w:rFonts w:hint="eastAsia" w:hAnsi="宋体"/>
          <w:color w:val="auto"/>
          <w:sz w:val="24"/>
          <w:szCs w:val="24"/>
          <w:highlight w:val="none"/>
          <w:lang w:val="en-US" w:eastAsia="zh-CN"/>
        </w:rPr>
        <w:t>5</w:t>
      </w:r>
      <w:r>
        <w:rPr>
          <w:rFonts w:hint="eastAsia" w:hAnsi="宋体"/>
          <w:color w:val="auto"/>
          <w:sz w:val="24"/>
          <w:szCs w:val="24"/>
          <w:highlight w:val="none"/>
        </w:rPr>
        <w:t>。</w:t>
      </w:r>
    </w:p>
    <w:p>
      <w:pPr>
        <w:pStyle w:val="4"/>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、公告期限</w:t>
      </w:r>
      <w:bookmarkEnd w:id="19"/>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自本公告发布之日起5个工作日。</w:t>
      </w:r>
    </w:p>
    <w:p>
      <w:pPr>
        <w:pStyle w:val="4"/>
        <w:numPr>
          <w:ilvl w:val="0"/>
          <w:numId w:val="0"/>
        </w:numPr>
        <w:spacing w:before="0" w:after="0" w:line="360" w:lineRule="auto"/>
        <w:rPr>
          <w:rFonts w:hint="eastAsia" w:ascii="宋体" w:hAnsi="宋体" w:eastAsia="宋体" w:cs="宋体"/>
          <w:color w:val="auto"/>
          <w:sz w:val="24"/>
          <w:szCs w:val="24"/>
          <w:highlight w:val="none"/>
        </w:rPr>
      </w:pPr>
      <w:bookmarkStart w:id="23" w:name="_Toc35393635"/>
      <w:bookmarkStart w:id="24" w:name="_Toc35393804"/>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其他补充事宜</w:t>
      </w:r>
      <w:bookmarkEnd w:id="23"/>
      <w:bookmarkEnd w:id="24"/>
    </w:p>
    <w:p>
      <w:pPr>
        <w:pStyle w:val="4"/>
        <w:spacing w:before="0" w:after="0" w:line="360" w:lineRule="auto"/>
        <w:ind w:firstLine="482" w:firstLineChars="200"/>
        <w:rPr>
          <w:rFonts w:hint="eastAsia" w:ascii="宋体" w:hAnsi="宋体" w:eastAsia="宋体" w:cs="Times New Roman"/>
          <w:b w:val="0"/>
          <w:color w:val="auto"/>
          <w:sz w:val="24"/>
          <w:szCs w:val="24"/>
          <w:highlight w:val="none"/>
          <w:lang w:val="en-US" w:eastAsia="zh-CN" w:bidi="ar-SA"/>
        </w:rPr>
      </w:pPr>
      <w:bookmarkStart w:id="25" w:name="_Toc28359095"/>
      <w:bookmarkStart w:id="26" w:name="_Toc28359018"/>
      <w:bookmarkStart w:id="27" w:name="_Toc35393636"/>
      <w:bookmarkStart w:id="28" w:name="_Toc35393805"/>
      <w:r>
        <w:rPr>
          <w:rFonts w:hint="eastAsia" w:hAnsi="宋体" w:cs="宋体"/>
          <w:color w:val="auto"/>
          <w:sz w:val="24"/>
          <w:szCs w:val="24"/>
          <w:highlight w:val="none"/>
        </w:rPr>
        <w:t>公告发布媒介：</w:t>
      </w:r>
      <w:r>
        <w:rPr>
          <w:rFonts w:hint="eastAsia" w:ascii="宋体" w:hAnsi="宋体" w:eastAsia="宋体" w:cs="Times New Roman"/>
          <w:b w:val="0"/>
          <w:color w:val="auto"/>
          <w:sz w:val="24"/>
          <w:szCs w:val="24"/>
          <w:highlight w:val="none"/>
          <w:lang w:val="en-US" w:eastAsia="zh-CN" w:bidi="ar-SA"/>
        </w:rPr>
        <w:t>中国政府采购网、中国采购与招标网、海南省安宁医院官网。</w:t>
      </w:r>
    </w:p>
    <w:p>
      <w:pPr>
        <w:pStyle w:val="4"/>
        <w:numPr>
          <w:ilvl w:val="0"/>
          <w:numId w:val="0"/>
        </w:numPr>
        <w:spacing w:before="0" w:after="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七、凡对本次采购提出询问，请按以下方式联系</w:t>
      </w:r>
      <w:bookmarkEnd w:id="25"/>
      <w:bookmarkEnd w:id="26"/>
      <w:bookmarkEnd w:id="27"/>
      <w:bookmarkEnd w:id="28"/>
    </w:p>
    <w:p>
      <w:pPr>
        <w:tabs>
          <w:tab w:val="left" w:pos="4680"/>
        </w:tabs>
        <w:snapToGrid w:val="0"/>
        <w:spacing w:line="360" w:lineRule="auto"/>
        <w:ind w:firstLine="480" w:firstLineChars="200"/>
        <w:rPr>
          <w:rFonts w:hint="eastAsia" w:hAnsi="宋体" w:cs="宋体"/>
          <w:color w:val="auto"/>
          <w:sz w:val="24"/>
          <w:szCs w:val="24"/>
          <w:highlight w:val="none"/>
        </w:rPr>
      </w:pPr>
      <w:bookmarkStart w:id="29" w:name="_Toc28359019"/>
      <w:bookmarkStart w:id="30" w:name="_Toc35393637"/>
      <w:bookmarkStart w:id="31" w:name="_Toc28359096"/>
      <w:bookmarkStart w:id="32" w:name="_Toc35393806"/>
      <w:r>
        <w:rPr>
          <w:rFonts w:hint="eastAsia" w:hAnsi="宋体" w:cs="宋体"/>
          <w:color w:val="auto"/>
          <w:sz w:val="24"/>
          <w:szCs w:val="24"/>
          <w:highlight w:val="none"/>
        </w:rPr>
        <w:t>1.采购人信息</w:t>
      </w:r>
      <w:bookmarkEnd w:id="29"/>
      <w:bookmarkEnd w:id="30"/>
      <w:bookmarkEnd w:id="31"/>
      <w:bookmarkEnd w:id="32"/>
    </w:p>
    <w:p>
      <w:pPr>
        <w:tabs>
          <w:tab w:val="left" w:pos="4680"/>
        </w:tabs>
        <w:snapToGrid w:val="0"/>
        <w:spacing w:line="360" w:lineRule="auto"/>
        <w:ind w:firstLine="480" w:firstLineChars="200"/>
        <w:rPr>
          <w:rFonts w:hint="eastAsia" w:hAnsi="宋体" w:eastAsia="宋体" w:cs="宋体"/>
          <w:color w:val="auto"/>
          <w:sz w:val="24"/>
          <w:szCs w:val="24"/>
          <w:highlight w:val="none"/>
          <w:lang w:eastAsia="zh-CN"/>
        </w:rPr>
      </w:pPr>
      <w:bookmarkStart w:id="33" w:name="_Toc35393807"/>
      <w:bookmarkStart w:id="34" w:name="_Toc28359020"/>
      <w:bookmarkStart w:id="35" w:name="_Toc28359097"/>
      <w:bookmarkStart w:id="36" w:name="_Toc35393638"/>
      <w:r>
        <w:rPr>
          <w:rFonts w:hint="eastAsia" w:hAnsi="宋体" w:cs="宋体"/>
          <w:color w:val="auto"/>
          <w:sz w:val="24"/>
          <w:szCs w:val="24"/>
          <w:highlight w:val="none"/>
        </w:rPr>
        <w:t>采购人：</w:t>
      </w:r>
      <w:r>
        <w:rPr>
          <w:rFonts w:hint="eastAsia" w:hAnsi="宋体" w:cs="宋体"/>
          <w:color w:val="auto"/>
          <w:sz w:val="24"/>
          <w:szCs w:val="24"/>
          <w:highlight w:val="none"/>
          <w:lang w:eastAsia="zh-CN"/>
        </w:rPr>
        <w:t>海南省安宁医院</w:t>
      </w:r>
    </w:p>
    <w:p>
      <w:pPr>
        <w:tabs>
          <w:tab w:val="left" w:pos="4680"/>
        </w:tabs>
        <w:snapToGrid w:val="0"/>
        <w:spacing w:line="360" w:lineRule="auto"/>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采购人地</w:t>
      </w:r>
      <w:r>
        <w:rPr>
          <w:rFonts w:hint="eastAsia" w:ascii="宋体" w:hAnsi="宋体" w:eastAsia="宋体" w:cs="宋体"/>
          <w:color w:val="auto"/>
          <w:sz w:val="24"/>
          <w:szCs w:val="24"/>
          <w:highlight w:val="none"/>
        </w:rPr>
        <w:t>点：</w:t>
      </w:r>
      <w:r>
        <w:rPr>
          <w:rFonts w:hint="eastAsia" w:hAnsi="宋体"/>
          <w:color w:val="auto"/>
          <w:sz w:val="24"/>
          <w:szCs w:val="24"/>
          <w:highlight w:val="none"/>
        </w:rPr>
        <w:t>海口市龙华区城西镇安宁路3号</w:t>
      </w:r>
    </w:p>
    <w:p>
      <w:pPr>
        <w:tabs>
          <w:tab w:val="left" w:pos="4680"/>
        </w:tabs>
        <w:snapToGrid w:val="0"/>
        <w:spacing w:line="360" w:lineRule="auto"/>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联系电话：</w:t>
      </w:r>
      <w:r>
        <w:rPr>
          <w:rFonts w:hint="eastAsia" w:hAnsi="宋体" w:cs="宋体"/>
          <w:color w:val="auto"/>
          <w:sz w:val="24"/>
          <w:szCs w:val="24"/>
          <w:highlight w:val="none"/>
          <w:lang w:eastAsia="zh-CN"/>
        </w:rPr>
        <w:t>0898-66988629</w:t>
      </w:r>
    </w:p>
    <w:p>
      <w:pPr>
        <w:tabs>
          <w:tab w:val="left" w:pos="4680"/>
        </w:tabs>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2.采购代理机构信息</w:t>
      </w:r>
      <w:bookmarkEnd w:id="33"/>
      <w:bookmarkEnd w:id="34"/>
      <w:bookmarkEnd w:id="35"/>
      <w:bookmarkEnd w:id="36"/>
    </w:p>
    <w:p>
      <w:pPr>
        <w:tabs>
          <w:tab w:val="left" w:pos="4680"/>
        </w:tabs>
        <w:snapToGrid w:val="0"/>
        <w:spacing w:line="360" w:lineRule="auto"/>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名    称：</w:t>
      </w:r>
      <w:r>
        <w:rPr>
          <w:rFonts w:hint="eastAsia" w:hAnsi="宋体" w:cs="宋体"/>
          <w:color w:val="auto"/>
          <w:sz w:val="24"/>
          <w:szCs w:val="24"/>
          <w:highlight w:val="none"/>
          <w:lang w:eastAsia="zh-CN"/>
        </w:rPr>
        <w:t>海南和顺项目管理有限公司</w:t>
      </w:r>
    </w:p>
    <w:p>
      <w:pPr>
        <w:tabs>
          <w:tab w:val="left" w:pos="4680"/>
        </w:tabs>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地　　址：</w:t>
      </w:r>
      <w:r>
        <w:rPr>
          <w:rFonts w:hint="eastAsia" w:hAnsi="宋体"/>
          <w:color w:val="auto"/>
          <w:sz w:val="24"/>
          <w:szCs w:val="24"/>
          <w:highlight w:val="none"/>
        </w:rPr>
        <w:t>海口市蓝天路名门广场北区B(6-9)1909房</w:t>
      </w:r>
      <w:r>
        <w:rPr>
          <w:rFonts w:hint="eastAsia" w:hAnsi="宋体" w:cs="宋体"/>
          <w:color w:val="auto"/>
          <w:sz w:val="24"/>
          <w:szCs w:val="24"/>
          <w:highlight w:val="none"/>
        </w:rPr>
        <w:t>　</w:t>
      </w:r>
    </w:p>
    <w:p>
      <w:pPr>
        <w:tabs>
          <w:tab w:val="left" w:pos="4680"/>
        </w:tabs>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联系方式：</w:t>
      </w:r>
      <w:bookmarkStart w:id="37" w:name="_Toc35393808"/>
      <w:bookmarkStart w:id="38" w:name="_Toc28359098"/>
      <w:bookmarkStart w:id="39" w:name="_Toc35393639"/>
      <w:bookmarkStart w:id="40" w:name="_Toc28359021"/>
      <w:r>
        <w:rPr>
          <w:rFonts w:hint="eastAsia" w:hAnsi="宋体" w:cs="宋体"/>
          <w:color w:val="auto"/>
          <w:sz w:val="24"/>
          <w:szCs w:val="24"/>
          <w:highlight w:val="none"/>
          <w:lang w:val="en-US" w:eastAsia="zh-CN"/>
        </w:rPr>
        <w:t>0898-65377472</w:t>
      </w:r>
      <w:r>
        <w:rPr>
          <w:rFonts w:hint="eastAsia" w:hAnsi="宋体" w:cs="宋体"/>
          <w:color w:val="auto"/>
          <w:sz w:val="24"/>
          <w:szCs w:val="24"/>
          <w:highlight w:val="none"/>
        </w:rPr>
        <w:t>　</w:t>
      </w:r>
    </w:p>
    <w:p>
      <w:pPr>
        <w:tabs>
          <w:tab w:val="left" w:pos="4680"/>
        </w:tabs>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3.项目联系方式</w:t>
      </w:r>
      <w:bookmarkEnd w:id="37"/>
      <w:bookmarkEnd w:id="38"/>
      <w:bookmarkEnd w:id="39"/>
      <w:bookmarkEnd w:id="40"/>
    </w:p>
    <w:p>
      <w:pPr>
        <w:tabs>
          <w:tab w:val="left" w:pos="4680"/>
        </w:tabs>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项目联系人：</w:t>
      </w:r>
      <w:r>
        <w:rPr>
          <w:rFonts w:hint="eastAsia" w:hAnsi="宋体" w:cs="宋体"/>
          <w:color w:val="auto"/>
          <w:sz w:val="24"/>
          <w:szCs w:val="24"/>
          <w:highlight w:val="none"/>
          <w:lang w:val="en-US" w:eastAsia="zh-CN"/>
        </w:rPr>
        <w:t>李工</w:t>
      </w:r>
    </w:p>
    <w:p>
      <w:pPr>
        <w:widowControl/>
        <w:ind w:firstLine="480" w:firstLineChars="200"/>
        <w:jc w:val="left"/>
        <w:outlineLvl w:val="0"/>
        <w:rPr>
          <w:rFonts w:hint="eastAsia" w:hAnsi="宋体" w:cs="宋体"/>
          <w:color w:val="auto"/>
          <w:sz w:val="24"/>
          <w:szCs w:val="24"/>
          <w:highlight w:val="none"/>
        </w:rPr>
      </w:pPr>
      <w:r>
        <w:rPr>
          <w:rFonts w:hint="eastAsia" w:hAnsi="宋体" w:cs="宋体"/>
          <w:color w:val="auto"/>
          <w:sz w:val="24"/>
          <w:szCs w:val="24"/>
          <w:highlight w:val="none"/>
        </w:rPr>
        <w:t>电　　  话：0898-</w:t>
      </w:r>
      <w:r>
        <w:rPr>
          <w:rFonts w:hint="eastAsia" w:hAnsi="宋体" w:cs="宋体"/>
          <w:color w:val="auto"/>
          <w:sz w:val="24"/>
          <w:szCs w:val="24"/>
          <w:highlight w:val="none"/>
          <w:lang w:val="en-US" w:eastAsia="zh-CN"/>
        </w:rPr>
        <w:t>65377472</w:t>
      </w:r>
      <w:r>
        <w:rPr>
          <w:rFonts w:hint="eastAsia" w:hAnsi="宋体" w:cs="宋体"/>
          <w:color w:val="auto"/>
          <w:sz w:val="24"/>
          <w:szCs w:val="24"/>
          <w:highlight w:val="none"/>
        </w:rPr>
        <w:t>　</w:t>
      </w:r>
    </w:p>
    <w:p>
      <w:pPr>
        <w:widowControl/>
        <w:ind w:firstLine="480" w:firstLineChars="200"/>
        <w:jc w:val="center"/>
        <w:outlineLvl w:val="0"/>
        <w:rPr>
          <w:rFonts w:hAnsi="宋体"/>
          <w:color w:val="auto"/>
          <w:sz w:val="24"/>
          <w:szCs w:val="24"/>
          <w:highlight w:val="none"/>
        </w:rPr>
      </w:pPr>
      <w:r>
        <w:rPr>
          <w:rFonts w:hAnsi="宋体"/>
          <w:color w:val="auto"/>
          <w:sz w:val="24"/>
          <w:szCs w:val="24"/>
          <w:highlight w:val="none"/>
        </w:rPr>
        <w:br w:type="page"/>
      </w:r>
      <w:bookmarkStart w:id="41" w:name="_Toc71799152"/>
      <w:bookmarkStart w:id="42" w:name="_Toc25485"/>
      <w:bookmarkStart w:id="43" w:name="_Toc495679398"/>
      <w:r>
        <w:rPr>
          <w:rFonts w:hint="eastAsia" w:hAnsi="宋体"/>
          <w:b/>
          <w:bCs/>
          <w:color w:val="auto"/>
          <w:sz w:val="32"/>
          <w:szCs w:val="32"/>
          <w:highlight w:val="none"/>
        </w:rPr>
        <w:t>第二章</w:t>
      </w:r>
      <w:r>
        <w:rPr>
          <w:rFonts w:hint="eastAsia" w:hAnsi="宋体"/>
          <w:b/>
          <w:bCs/>
          <w:color w:val="auto"/>
          <w:sz w:val="32"/>
          <w:szCs w:val="32"/>
          <w:highlight w:val="none"/>
          <w:lang w:val="en-US" w:eastAsia="zh-CN"/>
        </w:rPr>
        <w:t xml:space="preserve"> </w:t>
      </w:r>
      <w:r>
        <w:rPr>
          <w:rFonts w:hint="eastAsia" w:hAnsi="宋体"/>
          <w:b/>
          <w:bCs/>
          <w:color w:val="auto"/>
          <w:sz w:val="32"/>
          <w:szCs w:val="32"/>
          <w:highlight w:val="none"/>
        </w:rPr>
        <w:t>供应商须知</w:t>
      </w:r>
      <w:bookmarkEnd w:id="41"/>
      <w:bookmarkEnd w:id="42"/>
      <w:bookmarkEnd w:id="43"/>
    </w:p>
    <w:p>
      <w:pPr>
        <w:pStyle w:val="14"/>
        <w:spacing w:after="0" w:line="400" w:lineRule="exact"/>
        <w:ind w:left="0" w:leftChars="0"/>
        <w:jc w:val="center"/>
        <w:rPr>
          <w:rFonts w:hAnsi="宋体"/>
          <w:b/>
          <w:bCs/>
          <w:color w:val="auto"/>
          <w:sz w:val="24"/>
          <w:szCs w:val="24"/>
          <w:highlight w:val="none"/>
        </w:rPr>
      </w:pPr>
      <w:r>
        <w:rPr>
          <w:rFonts w:hint="eastAsia" w:hAnsi="宋体"/>
          <w:b/>
          <w:bCs/>
          <w:color w:val="auto"/>
          <w:sz w:val="24"/>
          <w:szCs w:val="24"/>
          <w:highlight w:val="none"/>
        </w:rPr>
        <w:t>供应商须知前附表</w:t>
      </w:r>
    </w:p>
    <w:tbl>
      <w:tblPr>
        <w:tblStyle w:val="17"/>
        <w:tblpPr w:leftFromText="180" w:rightFromText="180" w:vertAnchor="text" w:horzAnchor="page" w:tblpXSpec="center" w:tblpY="564"/>
        <w:tblOverlap w:val="never"/>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6" w:type="dxa"/>
            <w:noWrap w:val="0"/>
            <w:vAlign w:val="center"/>
          </w:tcPr>
          <w:p>
            <w:pPr>
              <w:widowControl/>
              <w:autoSpaceDE w:val="0"/>
              <w:autoSpaceDN w:val="0"/>
              <w:spacing w:line="360" w:lineRule="auto"/>
              <w:jc w:val="center"/>
              <w:textAlignment w:val="bottom"/>
              <w:rPr>
                <w:rFonts w:hAnsi="宋体"/>
                <w:color w:val="auto"/>
                <w:sz w:val="24"/>
                <w:szCs w:val="24"/>
                <w:highlight w:val="none"/>
              </w:rPr>
            </w:pPr>
            <w:r>
              <w:rPr>
                <w:rFonts w:hint="eastAsia" w:hAnsi="宋体"/>
                <w:b/>
                <w:bCs/>
                <w:color w:val="auto"/>
                <w:sz w:val="24"/>
                <w:szCs w:val="24"/>
                <w:highlight w:val="none"/>
              </w:rPr>
              <w:t>序号</w:t>
            </w:r>
          </w:p>
        </w:tc>
        <w:tc>
          <w:tcPr>
            <w:tcW w:w="7976" w:type="dxa"/>
            <w:noWrap w:val="0"/>
            <w:vAlign w:val="center"/>
          </w:tcPr>
          <w:p>
            <w:pPr>
              <w:widowControl/>
              <w:autoSpaceDE w:val="0"/>
              <w:autoSpaceDN w:val="0"/>
              <w:spacing w:line="360" w:lineRule="auto"/>
              <w:jc w:val="center"/>
              <w:textAlignment w:val="bottom"/>
              <w:rPr>
                <w:rFonts w:hAnsi="宋体"/>
                <w:color w:val="auto"/>
                <w:sz w:val="24"/>
                <w:szCs w:val="24"/>
                <w:highlight w:val="none"/>
              </w:rPr>
            </w:pPr>
            <w:r>
              <w:rPr>
                <w:rFonts w:hint="eastAsia" w:hAnsi="宋体"/>
                <w:b/>
                <w:bCs/>
                <w:color w:val="auto"/>
                <w:sz w:val="24"/>
                <w:szCs w:val="24"/>
                <w:highlight w:val="none"/>
              </w:rPr>
              <w:t>内</w:t>
            </w:r>
            <w:r>
              <w:rPr>
                <w:rFonts w:hint="eastAsia" w:hAnsi="宋体"/>
                <w:b/>
                <w:bCs/>
                <w:color w:val="auto"/>
                <w:sz w:val="24"/>
                <w:szCs w:val="24"/>
                <w:highlight w:val="none"/>
                <w:lang w:val="en-US" w:eastAsia="zh-CN"/>
              </w:rPr>
              <w:t xml:space="preserve">  </w:t>
            </w:r>
            <w:r>
              <w:rPr>
                <w:rFonts w:hint="eastAsia" w:hAnsi="宋体"/>
                <w:b/>
                <w:bCs/>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76" w:type="dxa"/>
            <w:noWrap w:val="0"/>
            <w:vAlign w:val="center"/>
          </w:tcPr>
          <w:p>
            <w:pPr>
              <w:widowControl/>
              <w:numPr>
                <w:ilvl w:val="0"/>
                <w:numId w:val="0"/>
              </w:numPr>
              <w:autoSpaceDE w:val="0"/>
              <w:autoSpaceDN w:val="0"/>
              <w:spacing w:line="360" w:lineRule="auto"/>
              <w:ind w:leftChars="0"/>
              <w:jc w:val="center"/>
              <w:textAlignment w:val="bottom"/>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1</w:t>
            </w:r>
          </w:p>
        </w:tc>
        <w:tc>
          <w:tcPr>
            <w:tcW w:w="7976" w:type="dxa"/>
            <w:noWrap w:val="0"/>
            <w:vAlign w:val="center"/>
          </w:tcPr>
          <w:p>
            <w:pPr>
              <w:spacing w:line="360" w:lineRule="auto"/>
              <w:rPr>
                <w:rFonts w:hint="eastAsia" w:hAnsi="宋体" w:eastAsia="宋体"/>
                <w:color w:val="auto"/>
                <w:sz w:val="24"/>
                <w:szCs w:val="24"/>
                <w:highlight w:val="none"/>
                <w:lang w:eastAsia="zh-CN"/>
              </w:rPr>
            </w:pPr>
            <w:r>
              <w:rPr>
                <w:rFonts w:hint="eastAsia" w:hAnsi="宋体"/>
                <w:color w:val="auto"/>
                <w:sz w:val="24"/>
                <w:szCs w:val="24"/>
                <w:highlight w:val="none"/>
              </w:rPr>
              <w:t>名    称：</w:t>
            </w:r>
            <w:r>
              <w:rPr>
                <w:rFonts w:hint="eastAsia" w:hAnsi="宋体"/>
                <w:color w:val="auto"/>
                <w:sz w:val="24"/>
                <w:szCs w:val="24"/>
                <w:highlight w:val="none"/>
                <w:lang w:eastAsia="zh-CN"/>
              </w:rPr>
              <w:t>海南省安宁医院</w:t>
            </w:r>
          </w:p>
          <w:p>
            <w:pPr>
              <w:spacing w:line="360" w:lineRule="auto"/>
              <w:rPr>
                <w:rFonts w:hint="eastAsia" w:hAnsi="宋体" w:eastAsia="宋体"/>
                <w:color w:val="auto"/>
                <w:sz w:val="24"/>
                <w:szCs w:val="24"/>
                <w:highlight w:val="none"/>
                <w:lang w:eastAsia="zh-CN"/>
              </w:rPr>
            </w:pPr>
            <w:r>
              <w:rPr>
                <w:rFonts w:hint="eastAsia" w:hAnsi="宋体"/>
                <w:color w:val="auto"/>
                <w:sz w:val="24"/>
                <w:szCs w:val="24"/>
                <w:highlight w:val="none"/>
              </w:rPr>
              <w:t>地    址：</w:t>
            </w:r>
            <w:r>
              <w:rPr>
                <w:rFonts w:hint="eastAsia" w:hAnsi="宋体"/>
                <w:color w:val="auto"/>
                <w:sz w:val="24"/>
                <w:szCs w:val="24"/>
                <w:highlight w:val="none"/>
                <w:lang w:eastAsia="zh-CN"/>
              </w:rPr>
              <w:t>海口市龙华区城西镇安宁路3号</w:t>
            </w:r>
          </w:p>
          <w:p>
            <w:pPr>
              <w:spacing w:line="360" w:lineRule="auto"/>
              <w:rPr>
                <w:rFonts w:hint="eastAsia" w:hAnsi="宋体" w:eastAsia="宋体"/>
                <w:color w:val="auto"/>
                <w:sz w:val="24"/>
                <w:szCs w:val="24"/>
                <w:highlight w:val="none"/>
                <w:lang w:eastAsia="zh-CN"/>
              </w:rPr>
            </w:pPr>
            <w:r>
              <w:rPr>
                <w:rFonts w:hint="eastAsia" w:hAnsi="宋体"/>
                <w:color w:val="auto"/>
                <w:sz w:val="24"/>
                <w:szCs w:val="24"/>
                <w:highlight w:val="none"/>
              </w:rPr>
              <w:t>联系方式：</w:t>
            </w:r>
            <w:r>
              <w:rPr>
                <w:rFonts w:hint="eastAsia" w:hAnsi="宋体"/>
                <w:color w:val="auto"/>
                <w:sz w:val="24"/>
                <w:szCs w:val="24"/>
                <w:highlight w:val="none"/>
                <w:lang w:eastAsia="zh-CN"/>
              </w:rPr>
              <w:t xml:space="preserve">0898-66988629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76" w:type="dxa"/>
            <w:noWrap w:val="0"/>
            <w:vAlign w:val="center"/>
          </w:tcPr>
          <w:p>
            <w:pPr>
              <w:widowControl/>
              <w:numPr>
                <w:ilvl w:val="0"/>
                <w:numId w:val="0"/>
              </w:numPr>
              <w:autoSpaceDE w:val="0"/>
              <w:autoSpaceDN w:val="0"/>
              <w:spacing w:line="360" w:lineRule="auto"/>
              <w:ind w:leftChars="0"/>
              <w:jc w:val="center"/>
              <w:textAlignment w:val="bottom"/>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2</w:t>
            </w:r>
          </w:p>
        </w:tc>
        <w:tc>
          <w:tcPr>
            <w:tcW w:w="7976" w:type="dxa"/>
            <w:noWrap w:val="0"/>
            <w:vAlign w:val="center"/>
          </w:tcPr>
          <w:p>
            <w:pPr>
              <w:spacing w:line="360" w:lineRule="auto"/>
              <w:rPr>
                <w:rFonts w:hint="eastAsia" w:hAnsi="宋体"/>
                <w:color w:val="auto"/>
                <w:sz w:val="24"/>
                <w:szCs w:val="24"/>
                <w:highlight w:val="none"/>
              </w:rPr>
            </w:pPr>
            <w:r>
              <w:rPr>
                <w:rFonts w:hint="eastAsia" w:hAnsi="宋体"/>
                <w:color w:val="auto"/>
                <w:sz w:val="24"/>
                <w:szCs w:val="24"/>
                <w:highlight w:val="none"/>
              </w:rPr>
              <w:t>采购代理机构：海南和顺项目管理有限公司</w:t>
            </w:r>
          </w:p>
          <w:p>
            <w:pPr>
              <w:spacing w:line="360" w:lineRule="auto"/>
              <w:rPr>
                <w:rFonts w:hAnsi="宋体"/>
                <w:color w:val="auto"/>
                <w:sz w:val="24"/>
                <w:szCs w:val="24"/>
                <w:highlight w:val="none"/>
              </w:rPr>
            </w:pPr>
            <w:r>
              <w:rPr>
                <w:rFonts w:hint="eastAsia" w:hAnsi="宋体"/>
                <w:color w:val="auto"/>
                <w:sz w:val="24"/>
                <w:szCs w:val="24"/>
                <w:highlight w:val="none"/>
              </w:rPr>
              <w:t>联系人：李工</w:t>
            </w:r>
          </w:p>
          <w:p>
            <w:pPr>
              <w:spacing w:line="360" w:lineRule="auto"/>
              <w:rPr>
                <w:rFonts w:hint="eastAsia" w:hAnsi="宋体"/>
                <w:color w:val="auto"/>
                <w:sz w:val="24"/>
                <w:szCs w:val="24"/>
                <w:highlight w:val="none"/>
              </w:rPr>
            </w:pPr>
            <w:r>
              <w:rPr>
                <w:rFonts w:hint="eastAsia" w:hAnsi="宋体"/>
                <w:color w:val="auto"/>
                <w:sz w:val="24"/>
                <w:szCs w:val="24"/>
                <w:highlight w:val="none"/>
              </w:rPr>
              <w:t xml:space="preserve">联系电话：0898-65377472     </w:t>
            </w:r>
          </w:p>
          <w:p>
            <w:pPr>
              <w:spacing w:line="360" w:lineRule="auto"/>
              <w:rPr>
                <w:rFonts w:hint="eastAsia" w:hAnsi="宋体" w:eastAsia="宋体"/>
                <w:color w:val="auto"/>
                <w:sz w:val="24"/>
                <w:szCs w:val="24"/>
                <w:highlight w:val="none"/>
                <w:lang w:eastAsia="zh-CN"/>
              </w:rPr>
            </w:pPr>
            <w:r>
              <w:rPr>
                <w:rFonts w:hint="eastAsia" w:hAnsi="宋体"/>
                <w:color w:val="auto"/>
                <w:sz w:val="24"/>
                <w:szCs w:val="24"/>
                <w:highlight w:val="none"/>
              </w:rPr>
              <w:t>地址：海口市蓝天路名门广场北区B（6-9）1909</w:t>
            </w:r>
            <w:r>
              <w:rPr>
                <w:rFonts w:hint="eastAsia" w:hAnsi="宋体"/>
                <w:color w:val="auto"/>
                <w:sz w:val="24"/>
                <w:szCs w:val="24"/>
                <w:highlight w:val="none"/>
                <w:lang w:val="en-US" w:eastAsia="zh-CN"/>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6" w:type="dxa"/>
            <w:noWrap w:val="0"/>
            <w:vAlign w:val="center"/>
          </w:tcPr>
          <w:p>
            <w:pPr>
              <w:widowControl/>
              <w:numPr>
                <w:ilvl w:val="0"/>
                <w:numId w:val="0"/>
              </w:numPr>
              <w:autoSpaceDE w:val="0"/>
              <w:autoSpaceDN w:val="0"/>
              <w:spacing w:line="360" w:lineRule="auto"/>
              <w:ind w:leftChars="0"/>
              <w:jc w:val="center"/>
              <w:textAlignment w:val="bottom"/>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3</w:t>
            </w:r>
          </w:p>
        </w:tc>
        <w:tc>
          <w:tcPr>
            <w:tcW w:w="7976" w:type="dxa"/>
            <w:noWrap w:val="0"/>
            <w:vAlign w:val="center"/>
          </w:tcPr>
          <w:p>
            <w:pPr>
              <w:spacing w:line="360" w:lineRule="auto"/>
              <w:rPr>
                <w:rFonts w:hAnsi="宋体"/>
                <w:color w:val="auto"/>
                <w:sz w:val="24"/>
                <w:szCs w:val="24"/>
                <w:highlight w:val="none"/>
              </w:rPr>
            </w:pPr>
            <w:r>
              <w:rPr>
                <w:rFonts w:hint="eastAsia" w:hAnsi="宋体"/>
                <w:color w:val="auto"/>
                <w:sz w:val="24"/>
                <w:szCs w:val="24"/>
                <w:highlight w:val="none"/>
              </w:rPr>
              <w:t>供应商资格要求：详见磋商公告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6" w:type="dxa"/>
            <w:noWrap w:val="0"/>
            <w:vAlign w:val="center"/>
          </w:tcPr>
          <w:p>
            <w:pPr>
              <w:widowControl/>
              <w:numPr>
                <w:ilvl w:val="0"/>
                <w:numId w:val="0"/>
              </w:numPr>
              <w:autoSpaceDE w:val="0"/>
              <w:autoSpaceDN w:val="0"/>
              <w:spacing w:line="360" w:lineRule="auto"/>
              <w:ind w:leftChars="0"/>
              <w:jc w:val="center"/>
              <w:textAlignment w:val="bottom"/>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4</w:t>
            </w:r>
          </w:p>
        </w:tc>
        <w:tc>
          <w:tcPr>
            <w:tcW w:w="7976" w:type="dxa"/>
            <w:noWrap w:val="0"/>
            <w:vAlign w:val="center"/>
          </w:tcPr>
          <w:p>
            <w:pPr>
              <w:tabs>
                <w:tab w:val="left" w:pos="8640"/>
              </w:tabs>
              <w:spacing w:line="360" w:lineRule="auto"/>
              <w:rPr>
                <w:rFonts w:hAnsi="宋体" w:cs="Arial"/>
                <w:color w:val="auto"/>
                <w:sz w:val="24"/>
                <w:szCs w:val="24"/>
                <w:highlight w:val="none"/>
              </w:rPr>
            </w:pPr>
            <w:r>
              <w:rPr>
                <w:rFonts w:hint="eastAsia" w:hAnsi="宋体" w:cs="Arial"/>
                <w:color w:val="auto"/>
                <w:sz w:val="24"/>
                <w:szCs w:val="24"/>
                <w:highlight w:val="none"/>
              </w:rPr>
              <w:t>磋商文件的澄清：提交响应文件截止之日</w:t>
            </w:r>
            <w:r>
              <w:rPr>
                <w:rFonts w:hAnsi="宋体" w:cs="Arial"/>
                <w:color w:val="auto"/>
                <w:sz w:val="24"/>
                <w:szCs w:val="24"/>
                <w:highlight w:val="none"/>
              </w:rPr>
              <w:t>5</w:t>
            </w:r>
            <w:r>
              <w:rPr>
                <w:rFonts w:hint="eastAsia" w:hAnsi="宋体" w:cs="Arial"/>
                <w:color w:val="auto"/>
                <w:sz w:val="24"/>
                <w:szCs w:val="24"/>
                <w:highlight w:val="none"/>
              </w:rPr>
              <w:t>日前以书面形式通知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6" w:type="dxa"/>
            <w:noWrap w:val="0"/>
            <w:vAlign w:val="center"/>
          </w:tcPr>
          <w:p>
            <w:pPr>
              <w:widowControl/>
              <w:numPr>
                <w:ilvl w:val="0"/>
                <w:numId w:val="0"/>
              </w:numPr>
              <w:autoSpaceDE w:val="0"/>
              <w:autoSpaceDN w:val="0"/>
              <w:spacing w:line="360" w:lineRule="auto"/>
              <w:ind w:leftChars="0"/>
              <w:jc w:val="center"/>
              <w:textAlignment w:val="bottom"/>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5</w:t>
            </w:r>
          </w:p>
        </w:tc>
        <w:tc>
          <w:tcPr>
            <w:tcW w:w="7976" w:type="dxa"/>
            <w:noWrap w:val="0"/>
            <w:vAlign w:val="center"/>
          </w:tcPr>
          <w:p>
            <w:pPr>
              <w:spacing w:line="360" w:lineRule="auto"/>
              <w:ind w:left="-14" w:leftChars="-4" w:firstLine="7" w:firstLineChars="3"/>
              <w:rPr>
                <w:rFonts w:hAnsi="宋体" w:cs="Arial"/>
                <w:color w:val="auto"/>
                <w:sz w:val="24"/>
                <w:szCs w:val="24"/>
                <w:highlight w:val="none"/>
              </w:rPr>
            </w:pPr>
            <w:r>
              <w:rPr>
                <w:rFonts w:hint="eastAsia" w:hAnsi="宋体" w:cs="Arial"/>
                <w:color w:val="auto"/>
                <w:sz w:val="24"/>
                <w:szCs w:val="24"/>
                <w:highlight w:val="none"/>
              </w:rPr>
              <w:t>磋商文件的修改：提交响应文件截止之日</w:t>
            </w:r>
            <w:r>
              <w:rPr>
                <w:rFonts w:hAnsi="宋体" w:cs="Arial"/>
                <w:color w:val="auto"/>
                <w:sz w:val="24"/>
                <w:szCs w:val="24"/>
                <w:highlight w:val="none"/>
              </w:rPr>
              <w:t>5</w:t>
            </w:r>
            <w:r>
              <w:rPr>
                <w:rFonts w:hint="eastAsia" w:hAnsi="宋体" w:cs="Arial"/>
                <w:color w:val="auto"/>
                <w:sz w:val="24"/>
                <w:szCs w:val="24"/>
                <w:highlight w:val="none"/>
              </w:rPr>
              <w:t>日前以书面形式通知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6" w:type="dxa"/>
            <w:noWrap w:val="0"/>
            <w:vAlign w:val="center"/>
          </w:tcPr>
          <w:p>
            <w:pPr>
              <w:widowControl/>
              <w:numPr>
                <w:ilvl w:val="0"/>
                <w:numId w:val="0"/>
              </w:numPr>
              <w:autoSpaceDE w:val="0"/>
              <w:autoSpaceDN w:val="0"/>
              <w:spacing w:line="360" w:lineRule="auto"/>
              <w:ind w:leftChars="0"/>
              <w:jc w:val="center"/>
              <w:textAlignment w:val="bottom"/>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6</w:t>
            </w:r>
          </w:p>
        </w:tc>
        <w:tc>
          <w:tcPr>
            <w:tcW w:w="7976" w:type="dxa"/>
            <w:noWrap w:val="0"/>
            <w:vAlign w:val="center"/>
          </w:tcPr>
          <w:p>
            <w:pPr>
              <w:spacing w:line="360" w:lineRule="auto"/>
              <w:ind w:left="-14" w:leftChars="-4"/>
              <w:rPr>
                <w:rFonts w:hAnsi="宋体" w:cs="Arial"/>
                <w:color w:val="auto"/>
                <w:sz w:val="24"/>
                <w:szCs w:val="24"/>
                <w:highlight w:val="none"/>
              </w:rPr>
            </w:pPr>
            <w:r>
              <w:rPr>
                <w:rFonts w:hint="eastAsia" w:hAnsi="宋体" w:cs="Arial"/>
                <w:color w:val="auto"/>
                <w:sz w:val="24"/>
                <w:szCs w:val="24"/>
                <w:highlight w:val="none"/>
              </w:rPr>
              <w:t>供应商提供的磋商响应文件应以第六章磋商响应文件格式的要求为准。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6" w:type="dxa"/>
            <w:noWrap w:val="0"/>
            <w:vAlign w:val="center"/>
          </w:tcPr>
          <w:p>
            <w:pPr>
              <w:widowControl/>
              <w:numPr>
                <w:ilvl w:val="0"/>
                <w:numId w:val="0"/>
              </w:numPr>
              <w:autoSpaceDE w:val="0"/>
              <w:autoSpaceDN w:val="0"/>
              <w:spacing w:line="360" w:lineRule="auto"/>
              <w:ind w:leftChars="0"/>
              <w:jc w:val="center"/>
              <w:textAlignment w:val="bottom"/>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7</w:t>
            </w:r>
          </w:p>
        </w:tc>
        <w:tc>
          <w:tcPr>
            <w:tcW w:w="7976" w:type="dxa"/>
            <w:noWrap w:val="0"/>
            <w:vAlign w:val="center"/>
          </w:tcPr>
          <w:p>
            <w:pPr>
              <w:widowControl/>
              <w:autoSpaceDE w:val="0"/>
              <w:autoSpaceDN w:val="0"/>
              <w:spacing w:line="360" w:lineRule="auto"/>
              <w:textAlignment w:val="bottom"/>
              <w:rPr>
                <w:rFonts w:hAnsi="宋体"/>
                <w:color w:val="auto"/>
                <w:sz w:val="24"/>
                <w:szCs w:val="24"/>
                <w:highlight w:val="none"/>
              </w:rPr>
            </w:pPr>
            <w:r>
              <w:rPr>
                <w:rFonts w:hint="eastAsia" w:hAnsi="宋体"/>
                <w:color w:val="auto"/>
                <w:sz w:val="24"/>
                <w:szCs w:val="24"/>
                <w:highlight w:val="none"/>
              </w:rPr>
              <w:t>本项目成交后不允许转包。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76" w:type="dxa"/>
            <w:noWrap w:val="0"/>
            <w:vAlign w:val="center"/>
          </w:tcPr>
          <w:p>
            <w:pPr>
              <w:widowControl/>
              <w:numPr>
                <w:ilvl w:val="0"/>
                <w:numId w:val="0"/>
              </w:numPr>
              <w:autoSpaceDE w:val="0"/>
              <w:autoSpaceDN w:val="0"/>
              <w:spacing w:line="360" w:lineRule="auto"/>
              <w:ind w:leftChars="0"/>
              <w:jc w:val="center"/>
              <w:textAlignment w:val="bottom"/>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8</w:t>
            </w:r>
          </w:p>
        </w:tc>
        <w:tc>
          <w:tcPr>
            <w:tcW w:w="7976" w:type="dxa"/>
            <w:noWrap w:val="0"/>
            <w:vAlign w:val="center"/>
          </w:tcPr>
          <w:p>
            <w:pPr>
              <w:widowControl/>
              <w:autoSpaceDE w:val="0"/>
              <w:autoSpaceDN w:val="0"/>
              <w:spacing w:line="360" w:lineRule="auto"/>
              <w:textAlignment w:val="bottom"/>
              <w:rPr>
                <w:rFonts w:hAnsi="宋体"/>
                <w:color w:val="auto"/>
                <w:sz w:val="24"/>
                <w:szCs w:val="24"/>
                <w:highlight w:val="none"/>
              </w:rPr>
            </w:pPr>
            <w:r>
              <w:rPr>
                <w:rFonts w:hint="eastAsia" w:hAnsi="宋体"/>
                <w:color w:val="auto"/>
                <w:sz w:val="24"/>
                <w:szCs w:val="24"/>
                <w:highlight w:val="none"/>
              </w:rPr>
              <w:t>备选方案：不接受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76" w:type="dxa"/>
            <w:noWrap w:val="0"/>
            <w:vAlign w:val="center"/>
          </w:tcPr>
          <w:p>
            <w:pPr>
              <w:numPr>
                <w:ilvl w:val="0"/>
                <w:numId w:val="0"/>
              </w:numPr>
              <w:spacing w:line="360" w:lineRule="auto"/>
              <w:ind w:leftChars="0"/>
              <w:jc w:val="center"/>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9</w:t>
            </w:r>
          </w:p>
        </w:tc>
        <w:tc>
          <w:tcPr>
            <w:tcW w:w="7976" w:type="dxa"/>
            <w:noWrap w:val="0"/>
            <w:vAlign w:val="center"/>
          </w:tcPr>
          <w:p>
            <w:pPr>
              <w:spacing w:line="360" w:lineRule="auto"/>
              <w:rPr>
                <w:rFonts w:hint="default" w:hAnsi="宋体" w:eastAsia="宋体" w:cs="宋体"/>
                <w:color w:val="auto"/>
                <w:sz w:val="24"/>
                <w:szCs w:val="24"/>
                <w:highlight w:val="none"/>
                <w:lang w:val="en-US" w:eastAsia="zh-CN"/>
              </w:rPr>
            </w:pPr>
            <w:r>
              <w:rPr>
                <w:rFonts w:hAnsi="宋体" w:cs="宋体"/>
                <w:b/>
                <w:bCs/>
                <w:color w:val="auto"/>
                <w:sz w:val="24"/>
                <w:szCs w:val="24"/>
                <w:highlight w:val="none"/>
              </w:rPr>
              <w:t>磋商保证金：</w:t>
            </w:r>
            <w:r>
              <w:rPr>
                <w:rFonts w:hint="eastAsia" w:hAnsi="宋体" w:cs="宋体"/>
                <w:b/>
                <w:bCs/>
                <w:color w:val="auto"/>
                <w:sz w:val="24"/>
                <w:szCs w:val="24"/>
                <w:highlight w:val="none"/>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6" w:type="dxa"/>
            <w:noWrap w:val="0"/>
            <w:vAlign w:val="center"/>
          </w:tcPr>
          <w:p>
            <w:pPr>
              <w:numPr>
                <w:ilvl w:val="0"/>
                <w:numId w:val="0"/>
              </w:numPr>
              <w:spacing w:line="360" w:lineRule="auto"/>
              <w:ind w:leftChars="0"/>
              <w:jc w:val="center"/>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10</w:t>
            </w:r>
          </w:p>
        </w:tc>
        <w:tc>
          <w:tcPr>
            <w:tcW w:w="7976" w:type="dxa"/>
            <w:noWrap w:val="0"/>
            <w:vAlign w:val="center"/>
          </w:tcPr>
          <w:p>
            <w:pPr>
              <w:widowControl/>
              <w:autoSpaceDE w:val="0"/>
              <w:autoSpaceDN w:val="0"/>
              <w:spacing w:line="360" w:lineRule="auto"/>
              <w:textAlignment w:val="bottom"/>
              <w:rPr>
                <w:rFonts w:hAnsi="宋体"/>
                <w:color w:val="auto"/>
                <w:sz w:val="24"/>
                <w:szCs w:val="24"/>
                <w:highlight w:val="none"/>
              </w:rPr>
            </w:pPr>
            <w:r>
              <w:rPr>
                <w:rFonts w:hint="eastAsia" w:hAnsi="宋体"/>
                <w:color w:val="auto"/>
                <w:sz w:val="24"/>
                <w:szCs w:val="24"/>
                <w:highlight w:val="none"/>
              </w:rPr>
              <w:t>投标有效期：自开标之日起</w:t>
            </w:r>
            <w:r>
              <w:rPr>
                <w:rFonts w:hAnsi="宋体"/>
                <w:color w:val="auto"/>
                <w:sz w:val="24"/>
                <w:szCs w:val="24"/>
                <w:highlight w:val="none"/>
              </w:rPr>
              <w:t>60</w:t>
            </w:r>
            <w:r>
              <w:rPr>
                <w:rFonts w:hint="eastAsia" w:hAnsi="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76" w:type="dxa"/>
            <w:noWrap w:val="0"/>
            <w:vAlign w:val="center"/>
          </w:tcPr>
          <w:p>
            <w:pPr>
              <w:numPr>
                <w:ilvl w:val="0"/>
                <w:numId w:val="0"/>
              </w:numPr>
              <w:spacing w:line="360" w:lineRule="auto"/>
              <w:ind w:leftChars="0"/>
              <w:jc w:val="center"/>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11</w:t>
            </w:r>
          </w:p>
        </w:tc>
        <w:tc>
          <w:tcPr>
            <w:tcW w:w="7976" w:type="dxa"/>
            <w:noWrap w:val="0"/>
            <w:vAlign w:val="center"/>
          </w:tcPr>
          <w:p>
            <w:pPr>
              <w:widowControl/>
              <w:autoSpaceDE w:val="0"/>
              <w:autoSpaceDN w:val="0"/>
              <w:spacing w:line="360" w:lineRule="auto"/>
              <w:textAlignment w:val="bottom"/>
              <w:rPr>
                <w:rFonts w:hAnsi="宋体"/>
                <w:color w:val="auto"/>
                <w:sz w:val="24"/>
                <w:szCs w:val="24"/>
                <w:highlight w:val="none"/>
              </w:rPr>
            </w:pPr>
            <w:r>
              <w:rPr>
                <w:rFonts w:hint="eastAsia" w:hAnsi="宋体" w:cs="宋体"/>
                <w:color w:val="auto"/>
                <w:sz w:val="24"/>
                <w:szCs w:val="24"/>
                <w:highlight w:val="none"/>
              </w:rPr>
              <w:t>磋商响应文件份数：正本壹份，副本贰份，电子版壹份</w:t>
            </w:r>
            <w:r>
              <w:rPr>
                <w:rFonts w:hint="eastAsia" w:hAnsi="宋体" w:cs="宋体"/>
                <w:color w:val="auto"/>
                <w:sz w:val="24"/>
                <w:szCs w:val="24"/>
                <w:highlight w:val="none"/>
                <w:lang w:eastAsia="zh-CN"/>
              </w:rPr>
              <w:t>（</w:t>
            </w:r>
            <w:r>
              <w:rPr>
                <w:rFonts w:hint="eastAsia" w:hAnsi="宋体" w:cs="宋体"/>
                <w:color w:val="auto"/>
                <w:sz w:val="24"/>
                <w:szCs w:val="24"/>
                <w:highlight w:val="none"/>
              </w:rPr>
              <w:t>注：电子版格式为正本签字盖章后完整扫描件PDF版本</w:t>
            </w:r>
            <w:r>
              <w:rPr>
                <w:rFonts w:hint="eastAsia" w:hAnsi="宋体" w:cs="宋体"/>
                <w:color w:val="auto"/>
                <w:sz w:val="24"/>
                <w:szCs w:val="24"/>
                <w:highlight w:val="none"/>
                <w:lang w:eastAsia="zh-CN"/>
              </w:rPr>
              <w:t>）</w:t>
            </w:r>
            <w:r>
              <w:rPr>
                <w:rFonts w:hint="eastAsia"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76" w:type="dxa"/>
            <w:noWrap w:val="0"/>
            <w:vAlign w:val="center"/>
          </w:tcPr>
          <w:p>
            <w:pPr>
              <w:numPr>
                <w:ilvl w:val="0"/>
                <w:numId w:val="0"/>
              </w:numPr>
              <w:spacing w:line="360" w:lineRule="auto"/>
              <w:ind w:leftChars="0"/>
              <w:jc w:val="center"/>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12</w:t>
            </w:r>
          </w:p>
        </w:tc>
        <w:tc>
          <w:tcPr>
            <w:tcW w:w="7976" w:type="dxa"/>
            <w:noWrap w:val="0"/>
            <w:vAlign w:val="center"/>
          </w:tcPr>
          <w:p>
            <w:pPr>
              <w:spacing w:line="360" w:lineRule="auto"/>
              <w:rPr>
                <w:rFonts w:hint="eastAsia" w:hAnsi="宋体" w:eastAsia="宋体"/>
                <w:color w:val="auto"/>
                <w:sz w:val="24"/>
                <w:szCs w:val="24"/>
                <w:highlight w:val="none"/>
                <w:lang w:eastAsia="zh-CN"/>
              </w:rPr>
            </w:pPr>
            <w:r>
              <w:rPr>
                <w:rFonts w:hint="eastAsia" w:hAnsi="宋体"/>
                <w:color w:val="auto"/>
                <w:sz w:val="24"/>
                <w:szCs w:val="24"/>
                <w:highlight w:val="none"/>
              </w:rPr>
              <w:t>磋商响应文件递交地点：</w:t>
            </w:r>
            <w:r>
              <w:rPr>
                <w:rFonts w:hint="eastAsia" w:hAnsi="宋体"/>
                <w:color w:val="auto"/>
                <w:sz w:val="24"/>
                <w:szCs w:val="24"/>
                <w:highlight w:val="none"/>
                <w:u w:val="single"/>
              </w:rPr>
              <w:t>海口市美兰区蓝天路51号京航大酒店5楼开标</w:t>
            </w:r>
            <w:r>
              <w:rPr>
                <w:rFonts w:hint="eastAsia" w:hAnsi="宋体"/>
                <w:color w:val="auto"/>
                <w:sz w:val="24"/>
                <w:szCs w:val="24"/>
                <w:highlight w:val="none"/>
                <w:u w:val="single"/>
                <w:lang w:val="en-US" w:eastAsia="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6" w:type="dxa"/>
            <w:noWrap w:val="0"/>
            <w:vAlign w:val="center"/>
          </w:tcPr>
          <w:p>
            <w:pPr>
              <w:numPr>
                <w:ilvl w:val="0"/>
                <w:numId w:val="0"/>
              </w:numPr>
              <w:spacing w:line="360" w:lineRule="auto"/>
              <w:ind w:leftChars="0"/>
              <w:jc w:val="center"/>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13</w:t>
            </w:r>
          </w:p>
        </w:tc>
        <w:tc>
          <w:tcPr>
            <w:tcW w:w="7976" w:type="dxa"/>
            <w:noWrap w:val="0"/>
            <w:vAlign w:val="center"/>
          </w:tcPr>
          <w:p>
            <w:pPr>
              <w:widowControl/>
              <w:tabs>
                <w:tab w:val="left" w:pos="5352"/>
              </w:tabs>
              <w:autoSpaceDE w:val="0"/>
              <w:autoSpaceDN w:val="0"/>
              <w:spacing w:line="360" w:lineRule="auto"/>
              <w:ind w:right="163" w:rightChars="48"/>
              <w:textAlignment w:val="bottom"/>
              <w:rPr>
                <w:rFonts w:hAnsi="宋体"/>
                <w:color w:val="auto"/>
                <w:sz w:val="24"/>
                <w:szCs w:val="24"/>
                <w:highlight w:val="none"/>
                <w:u w:val="single"/>
              </w:rPr>
            </w:pPr>
            <w:r>
              <w:rPr>
                <w:rFonts w:hint="eastAsia" w:hAnsi="宋体"/>
                <w:color w:val="auto"/>
                <w:sz w:val="24"/>
                <w:szCs w:val="24"/>
                <w:highlight w:val="none"/>
              </w:rPr>
              <w:t>磋商响应文件递交截止时间：202</w:t>
            </w:r>
            <w:r>
              <w:rPr>
                <w:rFonts w:hint="eastAsia" w:hAnsi="宋体"/>
                <w:color w:val="auto"/>
                <w:sz w:val="24"/>
                <w:szCs w:val="24"/>
                <w:highlight w:val="none"/>
                <w:lang w:val="en-US" w:eastAsia="zh-CN"/>
              </w:rPr>
              <w:t>4</w:t>
            </w:r>
            <w:r>
              <w:rPr>
                <w:rFonts w:hint="eastAsia" w:hAnsi="宋体"/>
                <w:color w:val="auto"/>
                <w:sz w:val="24"/>
                <w:szCs w:val="24"/>
                <w:highlight w:val="none"/>
              </w:rPr>
              <w:t>年</w:t>
            </w:r>
            <w:r>
              <w:rPr>
                <w:rFonts w:hint="eastAsia" w:hAnsi="宋体"/>
                <w:color w:val="auto"/>
                <w:sz w:val="24"/>
                <w:szCs w:val="24"/>
                <w:highlight w:val="none"/>
                <w:lang w:val="en-US" w:eastAsia="zh-CN"/>
              </w:rPr>
              <w:t>2</w:t>
            </w:r>
            <w:r>
              <w:rPr>
                <w:rFonts w:hint="eastAsia" w:hAnsi="宋体"/>
                <w:color w:val="auto"/>
                <w:sz w:val="24"/>
                <w:szCs w:val="24"/>
                <w:highlight w:val="none"/>
              </w:rPr>
              <w:t>月</w:t>
            </w:r>
            <w:r>
              <w:rPr>
                <w:rFonts w:hint="eastAsia" w:hAnsi="宋体"/>
                <w:color w:val="auto"/>
                <w:sz w:val="24"/>
                <w:szCs w:val="24"/>
                <w:highlight w:val="none"/>
                <w:lang w:val="en-US" w:eastAsia="zh-CN"/>
              </w:rPr>
              <w:t>29</w:t>
            </w:r>
            <w:r>
              <w:rPr>
                <w:rFonts w:hint="eastAsia" w:hAnsi="宋体"/>
                <w:color w:val="auto"/>
                <w:sz w:val="24"/>
                <w:szCs w:val="24"/>
                <w:highlight w:val="none"/>
              </w:rPr>
              <w:t>日</w:t>
            </w:r>
            <w:r>
              <w:rPr>
                <w:rFonts w:hint="eastAsia" w:hAnsi="宋体"/>
                <w:color w:val="auto"/>
                <w:sz w:val="24"/>
                <w:szCs w:val="24"/>
                <w:highlight w:val="none"/>
                <w:lang w:val="en-US" w:eastAsia="zh-CN"/>
              </w:rPr>
              <w:t>9</w:t>
            </w:r>
            <w:r>
              <w:rPr>
                <w:rFonts w:hint="eastAsia" w:hAnsi="宋体"/>
                <w:color w:val="auto"/>
                <w:sz w:val="24"/>
                <w:szCs w:val="24"/>
                <w:highlight w:val="none"/>
              </w:rPr>
              <w:t>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76" w:type="dxa"/>
            <w:noWrap w:val="0"/>
            <w:vAlign w:val="center"/>
          </w:tcPr>
          <w:p>
            <w:pPr>
              <w:numPr>
                <w:ilvl w:val="0"/>
                <w:numId w:val="0"/>
              </w:numPr>
              <w:spacing w:line="360" w:lineRule="auto"/>
              <w:ind w:leftChars="0"/>
              <w:jc w:val="center"/>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14</w:t>
            </w:r>
          </w:p>
        </w:tc>
        <w:tc>
          <w:tcPr>
            <w:tcW w:w="7976" w:type="dxa"/>
            <w:noWrap w:val="0"/>
            <w:vAlign w:val="center"/>
          </w:tcPr>
          <w:p>
            <w:pPr>
              <w:widowControl/>
              <w:tabs>
                <w:tab w:val="left" w:pos="5352"/>
              </w:tabs>
              <w:autoSpaceDE w:val="0"/>
              <w:autoSpaceDN w:val="0"/>
              <w:spacing w:line="360" w:lineRule="auto"/>
              <w:ind w:right="163" w:rightChars="48"/>
              <w:textAlignment w:val="bottom"/>
              <w:rPr>
                <w:rFonts w:hAnsi="宋体"/>
                <w:color w:val="auto"/>
                <w:sz w:val="24"/>
                <w:szCs w:val="24"/>
                <w:highlight w:val="none"/>
              </w:rPr>
            </w:pPr>
            <w:r>
              <w:rPr>
                <w:rFonts w:hint="eastAsia" w:hAnsi="宋体"/>
                <w:color w:val="auto"/>
                <w:sz w:val="24"/>
                <w:szCs w:val="24"/>
                <w:highlight w:val="none"/>
              </w:rPr>
              <w:t>开标时间：同磋商响应文件递交截止时间。</w:t>
            </w:r>
          </w:p>
          <w:p>
            <w:pPr>
              <w:spacing w:line="360" w:lineRule="auto"/>
              <w:rPr>
                <w:rFonts w:hAnsi="宋体"/>
                <w:color w:val="auto"/>
                <w:sz w:val="24"/>
                <w:szCs w:val="24"/>
                <w:highlight w:val="none"/>
              </w:rPr>
            </w:pPr>
            <w:r>
              <w:rPr>
                <w:rFonts w:hint="eastAsia" w:hAnsi="宋体"/>
                <w:color w:val="auto"/>
                <w:sz w:val="24"/>
                <w:szCs w:val="24"/>
                <w:highlight w:val="none"/>
              </w:rPr>
              <w:t>开标地点：同磋商响应文件递交地点。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876" w:type="dxa"/>
            <w:noWrap w:val="0"/>
            <w:vAlign w:val="center"/>
          </w:tcPr>
          <w:p>
            <w:pPr>
              <w:numPr>
                <w:ilvl w:val="0"/>
                <w:numId w:val="0"/>
              </w:numPr>
              <w:spacing w:line="360" w:lineRule="auto"/>
              <w:ind w:leftChars="0"/>
              <w:jc w:val="center"/>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15</w:t>
            </w:r>
          </w:p>
        </w:tc>
        <w:tc>
          <w:tcPr>
            <w:tcW w:w="7976" w:type="dxa"/>
            <w:noWrap w:val="0"/>
            <w:vAlign w:val="center"/>
          </w:tcPr>
          <w:p>
            <w:pPr>
              <w:spacing w:line="360" w:lineRule="auto"/>
              <w:rPr>
                <w:rFonts w:hAnsi="宋体"/>
                <w:color w:val="auto"/>
                <w:sz w:val="24"/>
                <w:szCs w:val="24"/>
                <w:highlight w:val="none"/>
              </w:rPr>
            </w:pPr>
            <w:r>
              <w:rPr>
                <w:rFonts w:hint="eastAsia" w:hAnsi="宋体"/>
                <w:b/>
                <w:color w:val="auto"/>
                <w:sz w:val="24"/>
                <w:szCs w:val="24"/>
                <w:highlight w:val="none"/>
              </w:rPr>
              <w:t>出现以下情况将可导致供应商的投标被拒绝：</w:t>
            </w:r>
          </w:p>
          <w:p>
            <w:pPr>
              <w:numPr>
                <w:ilvl w:val="0"/>
                <w:numId w:val="3"/>
              </w:numPr>
              <w:tabs>
                <w:tab w:val="left" w:pos="366"/>
                <w:tab w:val="clear" w:pos="855"/>
              </w:tabs>
              <w:spacing w:line="360" w:lineRule="auto"/>
              <w:ind w:left="366" w:hanging="366"/>
              <w:rPr>
                <w:rFonts w:hAnsi="宋体"/>
                <w:color w:val="auto"/>
                <w:sz w:val="24"/>
                <w:szCs w:val="24"/>
                <w:highlight w:val="none"/>
              </w:rPr>
            </w:pPr>
            <w:r>
              <w:rPr>
                <w:rFonts w:hint="eastAsia" w:hAnsi="宋体"/>
                <w:color w:val="auto"/>
                <w:sz w:val="24"/>
                <w:szCs w:val="24"/>
                <w:highlight w:val="none"/>
              </w:rPr>
              <w:t>供应商的资格证明文件不符合磋商文件的要求；</w:t>
            </w:r>
          </w:p>
          <w:p>
            <w:pPr>
              <w:numPr>
                <w:ilvl w:val="0"/>
                <w:numId w:val="3"/>
              </w:numPr>
              <w:tabs>
                <w:tab w:val="left" w:pos="366"/>
                <w:tab w:val="clear" w:pos="855"/>
              </w:tabs>
              <w:spacing w:line="360" w:lineRule="auto"/>
              <w:ind w:left="366" w:hanging="366"/>
              <w:rPr>
                <w:rFonts w:hAnsi="宋体"/>
                <w:color w:val="auto"/>
                <w:sz w:val="24"/>
                <w:szCs w:val="24"/>
                <w:highlight w:val="none"/>
              </w:rPr>
            </w:pPr>
            <w:r>
              <w:rPr>
                <w:rFonts w:hint="eastAsia" w:hAnsi="宋体"/>
                <w:color w:val="auto"/>
                <w:sz w:val="24"/>
                <w:szCs w:val="24"/>
                <w:highlight w:val="none"/>
              </w:rPr>
              <w:t>磋商报价不符合磋商文件的要求；</w:t>
            </w:r>
          </w:p>
          <w:p>
            <w:pPr>
              <w:numPr>
                <w:ilvl w:val="0"/>
                <w:numId w:val="3"/>
              </w:numPr>
              <w:tabs>
                <w:tab w:val="left" w:pos="366"/>
                <w:tab w:val="clear" w:pos="855"/>
              </w:tabs>
              <w:spacing w:line="360" w:lineRule="auto"/>
              <w:ind w:left="366" w:hanging="366"/>
              <w:rPr>
                <w:rFonts w:hAnsi="宋体"/>
                <w:color w:val="auto"/>
                <w:sz w:val="24"/>
                <w:szCs w:val="24"/>
                <w:highlight w:val="none"/>
              </w:rPr>
            </w:pPr>
            <w:r>
              <w:rPr>
                <w:rFonts w:hint="eastAsia" w:hAnsi="宋体" w:cs="宋体"/>
                <w:color w:val="auto"/>
                <w:sz w:val="24"/>
                <w:szCs w:val="24"/>
                <w:highlight w:val="none"/>
              </w:rPr>
              <w:t>不符合法律、法规和磋商文件中规定的其他实质性要求。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6" w:type="dxa"/>
            <w:noWrap w:val="0"/>
            <w:vAlign w:val="center"/>
          </w:tcPr>
          <w:p>
            <w:pPr>
              <w:numPr>
                <w:ilvl w:val="0"/>
                <w:numId w:val="0"/>
              </w:numPr>
              <w:spacing w:line="360" w:lineRule="auto"/>
              <w:ind w:leftChars="0"/>
              <w:jc w:val="center"/>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16</w:t>
            </w:r>
          </w:p>
        </w:tc>
        <w:tc>
          <w:tcPr>
            <w:tcW w:w="7976" w:type="dxa"/>
            <w:noWrap w:val="0"/>
            <w:vAlign w:val="center"/>
          </w:tcPr>
          <w:p>
            <w:pPr>
              <w:autoSpaceDE w:val="0"/>
              <w:autoSpaceDN w:val="0"/>
              <w:spacing w:line="360" w:lineRule="auto"/>
              <w:ind w:right="-31" w:rightChars="-9"/>
              <w:textAlignment w:val="bottom"/>
              <w:rPr>
                <w:rFonts w:hAnsi="宋体" w:cs="Arial"/>
                <w:color w:val="auto"/>
                <w:sz w:val="24"/>
                <w:szCs w:val="24"/>
                <w:highlight w:val="none"/>
              </w:rPr>
            </w:pPr>
            <w:r>
              <w:rPr>
                <w:rFonts w:hint="eastAsia" w:hAnsi="宋体" w:cs="宋体"/>
                <w:color w:val="auto"/>
                <w:sz w:val="24"/>
                <w:szCs w:val="24"/>
                <w:highlight w:val="none"/>
              </w:rPr>
              <w:t>磋商小组共</w:t>
            </w:r>
            <w:r>
              <w:rPr>
                <w:rFonts w:hint="eastAsia" w:hAnsi="宋体" w:cs="宋体"/>
                <w:color w:val="auto"/>
                <w:sz w:val="24"/>
                <w:szCs w:val="24"/>
                <w:highlight w:val="none"/>
                <w:u w:val="single"/>
              </w:rPr>
              <w:t xml:space="preserve"> 3 </w:t>
            </w:r>
            <w:r>
              <w:rPr>
                <w:rFonts w:hint="eastAsia" w:hAnsi="宋体" w:cs="宋体"/>
                <w:color w:val="auto"/>
                <w:sz w:val="24"/>
                <w:szCs w:val="24"/>
                <w:highlight w:val="none"/>
              </w:rPr>
              <w:t>名成员，从海南</w:t>
            </w:r>
            <w:r>
              <w:rPr>
                <w:rFonts w:hint="eastAsia" w:hAnsi="宋体" w:cs="宋体"/>
                <w:color w:val="auto"/>
                <w:sz w:val="24"/>
                <w:szCs w:val="24"/>
                <w:highlight w:val="none"/>
                <w:lang w:val="en-US" w:eastAsia="zh-CN"/>
              </w:rPr>
              <w:t>省</w:t>
            </w:r>
            <w:r>
              <w:rPr>
                <w:rFonts w:hint="eastAsia" w:hAnsi="宋体" w:cs="宋体"/>
                <w:color w:val="auto"/>
                <w:sz w:val="24"/>
                <w:szCs w:val="24"/>
                <w:highlight w:val="none"/>
              </w:rPr>
              <w:t>专家库中随机抽取</w:t>
            </w:r>
            <w:r>
              <w:rPr>
                <w:rFonts w:hint="eastAsia" w:hAnsi="宋体" w:cs="宋体"/>
                <w:color w:val="auto"/>
                <w:sz w:val="24"/>
                <w:szCs w:val="24"/>
                <w:highlight w:val="none"/>
                <w:lang w:val="en-US" w:eastAsia="zh-CN"/>
              </w:rPr>
              <w:t>3名专家</w:t>
            </w:r>
            <w:r>
              <w:rPr>
                <w:rFonts w:hint="eastAsia" w:hAnsi="宋体" w:cs="宋体"/>
                <w:color w:val="auto"/>
                <w:sz w:val="24"/>
                <w:szCs w:val="24"/>
                <w:highlight w:val="none"/>
              </w:rPr>
              <w:t>组成，其中评审专家人数不得少于磋商小组成员总数的2/3。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6" w:type="dxa"/>
            <w:noWrap w:val="0"/>
            <w:vAlign w:val="center"/>
          </w:tcPr>
          <w:p>
            <w:pPr>
              <w:numPr>
                <w:ilvl w:val="0"/>
                <w:numId w:val="0"/>
              </w:numPr>
              <w:spacing w:line="360" w:lineRule="auto"/>
              <w:ind w:leftChars="0"/>
              <w:jc w:val="center"/>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17</w:t>
            </w:r>
          </w:p>
        </w:tc>
        <w:tc>
          <w:tcPr>
            <w:tcW w:w="7976" w:type="dxa"/>
            <w:noWrap w:val="0"/>
            <w:vAlign w:val="center"/>
          </w:tcPr>
          <w:p>
            <w:pPr>
              <w:autoSpaceDE w:val="0"/>
              <w:autoSpaceDN w:val="0"/>
              <w:spacing w:line="360" w:lineRule="auto"/>
              <w:ind w:right="-31" w:rightChars="-9"/>
              <w:textAlignment w:val="bottom"/>
              <w:rPr>
                <w:rFonts w:hAnsi="宋体" w:cs="Arial"/>
                <w:color w:val="auto"/>
                <w:sz w:val="24"/>
                <w:szCs w:val="24"/>
                <w:highlight w:val="none"/>
              </w:rPr>
            </w:pPr>
            <w:r>
              <w:rPr>
                <w:rFonts w:hint="eastAsia" w:hAnsi="宋体" w:cs="Arial"/>
                <w:color w:val="auto"/>
                <w:sz w:val="24"/>
                <w:szCs w:val="24"/>
                <w:highlight w:val="none"/>
              </w:rPr>
              <w:t>推荐成交候选人</w:t>
            </w:r>
            <w:r>
              <w:rPr>
                <w:rFonts w:hAnsi="宋体" w:cs="Arial"/>
                <w:color w:val="auto"/>
                <w:sz w:val="24"/>
                <w:szCs w:val="24"/>
                <w:highlight w:val="none"/>
                <w:u w:val="single"/>
              </w:rPr>
              <w:t>3</w:t>
            </w:r>
            <w:r>
              <w:rPr>
                <w:rFonts w:hint="eastAsia" w:hAnsi="宋体" w:cs="Arial"/>
                <w:color w:val="auto"/>
                <w:sz w:val="24"/>
                <w:szCs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6" w:type="dxa"/>
            <w:noWrap w:val="0"/>
            <w:vAlign w:val="center"/>
          </w:tcPr>
          <w:p>
            <w:pPr>
              <w:numPr>
                <w:ilvl w:val="0"/>
                <w:numId w:val="0"/>
              </w:numPr>
              <w:spacing w:line="360" w:lineRule="auto"/>
              <w:ind w:leftChars="0"/>
              <w:jc w:val="center"/>
              <w:rPr>
                <w:rFonts w:hint="default" w:hAnsi="宋体"/>
                <w:b/>
                <w:color w:val="auto"/>
                <w:sz w:val="24"/>
                <w:szCs w:val="24"/>
                <w:highlight w:val="none"/>
                <w:lang w:val="en-US" w:eastAsia="zh-CN"/>
              </w:rPr>
            </w:pPr>
            <w:bookmarkStart w:id="44" w:name="_Toc71799153"/>
            <w:bookmarkStart w:id="45" w:name="_Toc495679399"/>
            <w:r>
              <w:rPr>
                <w:rFonts w:hint="eastAsia" w:hAnsi="宋体"/>
                <w:b/>
                <w:color w:val="auto"/>
                <w:sz w:val="24"/>
                <w:szCs w:val="24"/>
                <w:highlight w:val="none"/>
                <w:lang w:val="en-US" w:eastAsia="zh-CN"/>
              </w:rPr>
              <w:t>18</w:t>
            </w:r>
          </w:p>
        </w:tc>
        <w:tc>
          <w:tcPr>
            <w:tcW w:w="7976" w:type="dxa"/>
            <w:noWrap w:val="0"/>
            <w:vAlign w:val="center"/>
          </w:tcPr>
          <w:p>
            <w:pPr>
              <w:autoSpaceDE w:val="0"/>
              <w:autoSpaceDN w:val="0"/>
              <w:spacing w:line="360" w:lineRule="auto"/>
              <w:ind w:right="-31" w:rightChars="-9"/>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采购标的对应的中小企业划分标准所属行业：其他未列明行业；</w:t>
            </w:r>
          </w:p>
          <w:p>
            <w:pPr>
              <w:autoSpaceDE w:val="0"/>
              <w:autoSpaceDN w:val="0"/>
              <w:spacing w:line="360" w:lineRule="auto"/>
              <w:ind w:right="-31" w:rightChars="-9"/>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具体标准详见—工信部联企业〔2011〕300 号《中小企业划型标准规定》。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76" w:type="dxa"/>
            <w:noWrap w:val="0"/>
            <w:vAlign w:val="center"/>
          </w:tcPr>
          <w:p>
            <w:pPr>
              <w:numPr>
                <w:ilvl w:val="0"/>
                <w:numId w:val="0"/>
              </w:numPr>
              <w:spacing w:line="360" w:lineRule="auto"/>
              <w:ind w:leftChars="0"/>
              <w:jc w:val="center"/>
              <w:rPr>
                <w:rFonts w:hint="default" w:hAnsi="宋体"/>
                <w:b/>
                <w:color w:val="auto"/>
                <w:sz w:val="24"/>
                <w:szCs w:val="24"/>
                <w:highlight w:val="none"/>
                <w:lang w:val="en-US" w:eastAsia="zh-CN"/>
              </w:rPr>
            </w:pPr>
            <w:r>
              <w:rPr>
                <w:rFonts w:hint="eastAsia" w:hAnsi="宋体"/>
                <w:b/>
                <w:color w:val="auto"/>
                <w:sz w:val="24"/>
                <w:szCs w:val="24"/>
                <w:highlight w:val="none"/>
                <w:lang w:val="en-US" w:eastAsia="zh-CN"/>
              </w:rPr>
              <w:t>19</w:t>
            </w:r>
          </w:p>
        </w:tc>
        <w:tc>
          <w:tcPr>
            <w:tcW w:w="7976" w:type="dxa"/>
            <w:noWrap w:val="0"/>
            <w:vAlign w:val="center"/>
          </w:tcPr>
          <w:p>
            <w:pPr>
              <w:autoSpaceDE w:val="0"/>
              <w:autoSpaceDN w:val="0"/>
              <w:adjustRightInd w:val="0"/>
              <w:spacing w:line="360" w:lineRule="auto"/>
              <w:jc w:val="left"/>
              <w:rPr>
                <w:rFonts w:hint="eastAsia" w:ascii="Times New Roman"/>
                <w:color w:val="auto"/>
                <w:sz w:val="24"/>
                <w:szCs w:val="24"/>
                <w:highlight w:val="none"/>
              </w:rPr>
            </w:pPr>
            <w:r>
              <w:rPr>
                <w:rFonts w:hint="eastAsia" w:hAnsi="宋体" w:cs="宋体"/>
                <w:color w:val="auto"/>
                <w:sz w:val="24"/>
                <w:szCs w:val="24"/>
                <w:highlight w:val="none"/>
              </w:rPr>
              <w:t>招标代理服务费：本项目招标代理服务费用由成交供应商</w:t>
            </w:r>
            <w:r>
              <w:rPr>
                <w:rFonts w:hint="eastAsia" w:hAnsi="宋体" w:cs="宋体"/>
                <w:color w:val="auto"/>
                <w:sz w:val="24"/>
                <w:szCs w:val="24"/>
                <w:highlight w:val="none"/>
                <w:lang w:val="en-US" w:eastAsia="zh-CN"/>
              </w:rPr>
              <w:t>根据《招标代理服务收费管理暂行办法》[计价格 ［2002］1980号]标准计算</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 xml:space="preserve">不足5000.00元的按5000.00元支付，其中A包成交供应商需支付：3000.00元；B包成交供应商需支付：2000.00元 </w:t>
            </w:r>
            <w:r>
              <w:rPr>
                <w:rFonts w:hint="eastAsia" w:hAnsi="宋体" w:cs="宋体"/>
                <w:color w:val="auto"/>
                <w:sz w:val="24"/>
                <w:szCs w:val="24"/>
                <w:highlight w:val="none"/>
              </w:rPr>
              <w:t>。</w:t>
            </w:r>
          </w:p>
        </w:tc>
      </w:tr>
    </w:tbl>
    <w:p>
      <w:pPr>
        <w:pStyle w:val="3"/>
        <w:pageBreakBefore/>
        <w:spacing w:before="0" w:after="0" w:line="360" w:lineRule="auto"/>
        <w:rPr>
          <w:rFonts w:hint="eastAsia" w:ascii="宋体" w:hAnsi="宋体" w:eastAsia="宋体" w:cs="Times New Roman"/>
          <w:b/>
          <w:bCs/>
          <w:color w:val="auto"/>
          <w:kern w:val="0"/>
          <w:sz w:val="32"/>
          <w:szCs w:val="32"/>
          <w:highlight w:val="none"/>
          <w:lang w:val="en-US" w:eastAsia="zh-CN" w:bidi="ar-SA"/>
        </w:rPr>
      </w:pPr>
      <w:bookmarkStart w:id="46" w:name="_Toc886"/>
      <w:r>
        <w:rPr>
          <w:rFonts w:hint="eastAsia" w:ascii="宋体" w:hAnsi="宋体" w:eastAsia="宋体" w:cs="Times New Roman"/>
          <w:b/>
          <w:bCs/>
          <w:color w:val="auto"/>
          <w:kern w:val="0"/>
          <w:sz w:val="32"/>
          <w:szCs w:val="32"/>
          <w:highlight w:val="none"/>
          <w:lang w:val="en-US" w:eastAsia="zh-CN" w:bidi="ar-SA"/>
        </w:rPr>
        <w:t>供应商须知正文部分</w:t>
      </w:r>
      <w:bookmarkEnd w:id="44"/>
      <w:bookmarkEnd w:id="45"/>
      <w:bookmarkEnd w:id="46"/>
    </w:p>
    <w:p>
      <w:pPr>
        <w:pStyle w:val="4"/>
        <w:spacing w:before="0" w:after="0" w:line="360" w:lineRule="auto"/>
        <w:rPr>
          <w:rFonts w:ascii="宋体" w:hAnsi="宋体" w:eastAsia="宋体"/>
          <w:bCs/>
          <w:color w:val="auto"/>
          <w:sz w:val="24"/>
          <w:szCs w:val="24"/>
          <w:highlight w:val="none"/>
        </w:rPr>
      </w:pPr>
      <w:bookmarkStart w:id="47" w:name="_Toc495679400"/>
      <w:r>
        <w:rPr>
          <w:rFonts w:hint="eastAsia" w:ascii="宋体" w:hAnsi="宋体" w:eastAsia="宋体"/>
          <w:color w:val="auto"/>
          <w:sz w:val="24"/>
          <w:szCs w:val="24"/>
          <w:highlight w:val="none"/>
        </w:rPr>
        <w:t>一、总则</w:t>
      </w:r>
      <w:bookmarkEnd w:id="47"/>
    </w:p>
    <w:p>
      <w:pPr>
        <w:spacing w:line="360" w:lineRule="auto"/>
        <w:rPr>
          <w:rFonts w:hAnsi="宋体"/>
          <w:b/>
          <w:color w:val="auto"/>
          <w:sz w:val="24"/>
          <w:szCs w:val="24"/>
          <w:highlight w:val="none"/>
        </w:rPr>
      </w:pPr>
      <w:r>
        <w:rPr>
          <w:rFonts w:hAnsi="宋体"/>
          <w:b/>
          <w:color w:val="auto"/>
          <w:sz w:val="24"/>
          <w:szCs w:val="24"/>
          <w:highlight w:val="none"/>
        </w:rPr>
        <w:t xml:space="preserve">1. </w:t>
      </w:r>
      <w:r>
        <w:rPr>
          <w:rFonts w:hint="eastAsia" w:hAnsi="宋体"/>
          <w:b/>
          <w:color w:val="auto"/>
          <w:sz w:val="24"/>
          <w:szCs w:val="24"/>
          <w:highlight w:val="none"/>
        </w:rPr>
        <w:t>资金来源：</w:t>
      </w:r>
      <w:r>
        <w:rPr>
          <w:rFonts w:hint="eastAsia" w:hAnsi="宋体"/>
          <w:b/>
          <w:color w:val="auto"/>
          <w:sz w:val="24"/>
          <w:szCs w:val="24"/>
          <w:highlight w:val="none"/>
          <w:lang w:val="en-US" w:eastAsia="zh-CN"/>
        </w:rPr>
        <w:t>自筹</w:t>
      </w:r>
      <w:r>
        <w:rPr>
          <w:rFonts w:hint="eastAsia" w:hAnsi="宋体"/>
          <w:b/>
          <w:color w:val="auto"/>
          <w:sz w:val="24"/>
          <w:szCs w:val="24"/>
          <w:highlight w:val="none"/>
          <w:lang w:eastAsia="zh-CN"/>
        </w:rPr>
        <w:t>资金</w:t>
      </w:r>
      <w:r>
        <w:rPr>
          <w:rFonts w:hint="eastAsia" w:hAnsi="宋体"/>
          <w:b/>
          <w:color w:val="auto"/>
          <w:sz w:val="24"/>
          <w:szCs w:val="24"/>
          <w:highlight w:val="none"/>
        </w:rPr>
        <w:t>。</w:t>
      </w:r>
    </w:p>
    <w:p>
      <w:pPr>
        <w:numPr>
          <w:ilvl w:val="1"/>
          <w:numId w:val="4"/>
        </w:numPr>
        <w:spacing w:line="360" w:lineRule="auto"/>
        <w:rPr>
          <w:rFonts w:hAnsi="宋体"/>
          <w:color w:val="auto"/>
          <w:sz w:val="24"/>
          <w:szCs w:val="24"/>
          <w:highlight w:val="none"/>
        </w:rPr>
      </w:pPr>
      <w:r>
        <w:rPr>
          <w:rFonts w:hint="eastAsia" w:hAnsi="宋体"/>
          <w:color w:val="auto"/>
          <w:sz w:val="24"/>
          <w:szCs w:val="24"/>
          <w:highlight w:val="none"/>
        </w:rPr>
        <w:t>采购人：见《供应商须知前附表》</w:t>
      </w:r>
    </w:p>
    <w:p>
      <w:pPr>
        <w:numPr>
          <w:ilvl w:val="1"/>
          <w:numId w:val="4"/>
        </w:numPr>
        <w:spacing w:line="360" w:lineRule="auto"/>
        <w:rPr>
          <w:rFonts w:hAnsi="宋体"/>
          <w:color w:val="auto"/>
          <w:sz w:val="24"/>
          <w:szCs w:val="24"/>
          <w:highlight w:val="none"/>
        </w:rPr>
      </w:pPr>
      <w:r>
        <w:rPr>
          <w:rFonts w:hint="eastAsia" w:hAnsi="宋体"/>
          <w:color w:val="auto"/>
          <w:sz w:val="24"/>
          <w:szCs w:val="24"/>
          <w:highlight w:val="none"/>
        </w:rPr>
        <w:t>采购代理机构：见《供应商须知前附表》</w:t>
      </w:r>
    </w:p>
    <w:p>
      <w:pPr>
        <w:numPr>
          <w:ilvl w:val="0"/>
          <w:numId w:val="5"/>
        </w:numPr>
        <w:spacing w:line="360" w:lineRule="auto"/>
        <w:rPr>
          <w:rFonts w:hAnsi="宋体"/>
          <w:b/>
          <w:color w:val="auto"/>
          <w:sz w:val="24"/>
          <w:szCs w:val="24"/>
          <w:highlight w:val="none"/>
        </w:rPr>
      </w:pPr>
      <w:r>
        <w:rPr>
          <w:rFonts w:hint="eastAsia" w:hAnsi="宋体"/>
          <w:b/>
          <w:color w:val="auto"/>
          <w:sz w:val="24"/>
          <w:szCs w:val="24"/>
          <w:highlight w:val="none"/>
        </w:rPr>
        <w:t>合格的供应商</w:t>
      </w:r>
    </w:p>
    <w:p>
      <w:pPr>
        <w:numPr>
          <w:ilvl w:val="1"/>
          <w:numId w:val="6"/>
        </w:num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合格的供应商：</w:t>
      </w:r>
      <w:r>
        <w:rPr>
          <w:rFonts w:hint="eastAsia"/>
          <w:color w:val="auto"/>
          <w:sz w:val="24"/>
          <w:szCs w:val="24"/>
          <w:highlight w:val="none"/>
        </w:rPr>
        <w:t>见《磋商公告》及</w:t>
      </w:r>
      <w:r>
        <w:rPr>
          <w:rFonts w:hint="eastAsia" w:hAnsi="宋体"/>
          <w:color w:val="auto"/>
          <w:sz w:val="24"/>
          <w:szCs w:val="24"/>
          <w:highlight w:val="none"/>
        </w:rPr>
        <w:t>《供应商须知前附表》中规定的内容</w:t>
      </w:r>
    </w:p>
    <w:p>
      <w:pPr>
        <w:numPr>
          <w:ilvl w:val="1"/>
          <w:numId w:val="6"/>
        </w:num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联合体投标</w:t>
      </w:r>
      <w:r>
        <w:rPr>
          <w:rFonts w:hAnsi="宋体"/>
          <w:color w:val="auto"/>
          <w:sz w:val="24"/>
          <w:szCs w:val="24"/>
          <w:highlight w:val="none"/>
        </w:rPr>
        <w:t>:</w:t>
      </w:r>
      <w:r>
        <w:rPr>
          <w:rFonts w:hint="eastAsia" w:hAnsi="宋体"/>
          <w:color w:val="auto"/>
          <w:sz w:val="24"/>
          <w:szCs w:val="24"/>
          <w:highlight w:val="none"/>
        </w:rPr>
        <w:t>本次采购不接受联合体</w:t>
      </w:r>
    </w:p>
    <w:p>
      <w:pPr>
        <w:numPr>
          <w:ilvl w:val="1"/>
          <w:numId w:val="6"/>
        </w:numPr>
        <w:spacing w:line="360" w:lineRule="auto"/>
        <w:ind w:left="480" w:hanging="480" w:hangingChars="200"/>
        <w:rPr>
          <w:rFonts w:hAnsi="宋体"/>
          <w:bCs/>
          <w:color w:val="auto"/>
          <w:sz w:val="24"/>
          <w:szCs w:val="24"/>
          <w:highlight w:val="none"/>
        </w:rPr>
      </w:pPr>
      <w:r>
        <w:rPr>
          <w:rFonts w:hint="eastAsia" w:hAnsi="宋体"/>
          <w:bCs/>
          <w:color w:val="auto"/>
          <w:sz w:val="24"/>
          <w:szCs w:val="24"/>
          <w:highlight w:val="none"/>
        </w:rPr>
        <w:t>合格的货物和服务：</w:t>
      </w:r>
      <w:r>
        <w:rPr>
          <w:rFonts w:hint="eastAsia" w:hAnsi="宋体"/>
          <w:color w:val="auto"/>
          <w:sz w:val="24"/>
          <w:szCs w:val="24"/>
          <w:highlight w:val="none"/>
        </w:rPr>
        <w:t>合同规定的货物和服务指其来源符合磋商文件要求的货物和服务。</w:t>
      </w:r>
    </w:p>
    <w:p>
      <w:pPr>
        <w:tabs>
          <w:tab w:val="left" w:pos="360"/>
        </w:tabs>
        <w:spacing w:line="360" w:lineRule="auto"/>
        <w:rPr>
          <w:rFonts w:hint="eastAsia" w:hAnsi="宋体"/>
          <w:color w:val="auto"/>
          <w:sz w:val="24"/>
          <w:szCs w:val="24"/>
          <w:highlight w:val="none"/>
        </w:rPr>
      </w:pPr>
      <w:r>
        <w:rPr>
          <w:rFonts w:hAnsi="宋体"/>
          <w:color w:val="auto"/>
          <w:sz w:val="24"/>
          <w:szCs w:val="24"/>
          <w:highlight w:val="none"/>
        </w:rPr>
        <w:t>2.4</w:t>
      </w:r>
      <w:r>
        <w:rPr>
          <w:rFonts w:hint="eastAsia" w:hAnsi="宋体"/>
          <w:bCs/>
          <w:color w:val="auto"/>
          <w:sz w:val="24"/>
          <w:szCs w:val="24"/>
          <w:highlight w:val="none"/>
        </w:rPr>
        <w:t>供应商参加本次政府采购活动应当符合《中华人民共和国政府采购法》第二十二条的规定，并具备本采购文件第一章的“资格要求”规定的条件。</w:t>
      </w:r>
      <w:r>
        <w:rPr>
          <w:rFonts w:hint="eastAsia" w:hAnsi="宋体"/>
          <w:color w:val="auto"/>
          <w:sz w:val="24"/>
          <w:szCs w:val="24"/>
          <w:highlight w:val="none"/>
        </w:rPr>
        <w:t>具有独立承担民事责任的能力的补充说明：（1）投标人是企业（包括合伙企业）的，提供在工商部门注册的有效的“企业法人营业执照”或“营业执照”；投标人是事业单位的，提供有效的“事业单位法人证书”；投标人是非企业专业服务机构的，如律师事务所，提供执业许可证等证明文件；投标人是个体工商户的，提供有效的“个体工商户营业执照”；投标人是自然人的，提供有效的自然人身份证明。要求提供的资料须是复印件加盖公章。(2)银行、保险、石油石化、电力、电信运营商等有行业特殊情况的，其分支机构可参与投标，即其分支机构可视为“具有独立承担民事责任能力的法人”。(3)适用《合伙企业法》调整的律师事务所及其分所、会计师事务所及其分所，按要求提供执业许可证等证明文件的，可参加政府采购活动。</w:t>
      </w:r>
    </w:p>
    <w:p>
      <w:pPr>
        <w:tabs>
          <w:tab w:val="left" w:pos="360"/>
        </w:tabs>
        <w:spacing w:line="360" w:lineRule="auto"/>
        <w:rPr>
          <w:rFonts w:hAnsi="宋体"/>
          <w:bCs/>
          <w:color w:val="auto"/>
          <w:sz w:val="24"/>
          <w:szCs w:val="24"/>
          <w:highlight w:val="none"/>
        </w:rPr>
      </w:pPr>
      <w:r>
        <w:rPr>
          <w:rFonts w:hint="eastAsia" w:hAnsi="宋体"/>
          <w:color w:val="auto"/>
          <w:sz w:val="24"/>
          <w:szCs w:val="24"/>
          <w:highlight w:val="none"/>
        </w:rPr>
        <w:t>2.5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500" w:lineRule="exact"/>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6如为信息系统采购项目，供应商不得为该整体项目或其中分项目前期工作提供过设计、编制、管理等服务的法人及附属单位。</w:t>
      </w:r>
    </w:p>
    <w:p>
      <w:pPr>
        <w:spacing w:line="500" w:lineRule="exact"/>
        <w:rPr>
          <w:rFonts w:hAnsi="宋体"/>
          <w:bCs/>
          <w:color w:val="auto"/>
          <w:sz w:val="24"/>
          <w:szCs w:val="24"/>
          <w:highlight w:val="none"/>
        </w:rPr>
      </w:pPr>
      <w:r>
        <w:rPr>
          <w:rFonts w:hAnsi="宋体"/>
          <w:bCs/>
          <w:color w:val="auto"/>
          <w:sz w:val="24"/>
          <w:szCs w:val="24"/>
          <w:highlight w:val="none"/>
        </w:rPr>
        <w:t>2.</w:t>
      </w:r>
      <w:r>
        <w:rPr>
          <w:rFonts w:hint="eastAsia" w:hAnsi="宋体"/>
          <w:bCs/>
          <w:color w:val="auto"/>
          <w:sz w:val="24"/>
          <w:szCs w:val="24"/>
          <w:highlight w:val="none"/>
        </w:rPr>
        <w:t>7招标（采购）文件中未明确规定允许进口产品参加的，均视为拒绝进口产品参加。（进口产品是指通过中国海关报关验放进入中国境内且产自关境外的产品）。</w:t>
      </w:r>
    </w:p>
    <w:p>
      <w:pPr>
        <w:spacing w:line="360" w:lineRule="auto"/>
        <w:rPr>
          <w:rFonts w:hAnsi="宋体" w:cs="宋体"/>
          <w:b/>
          <w:bCs/>
          <w:color w:val="auto"/>
          <w:sz w:val="24"/>
          <w:szCs w:val="24"/>
          <w:highlight w:val="none"/>
        </w:rPr>
      </w:pPr>
      <w:r>
        <w:rPr>
          <w:rFonts w:hAnsi="宋体" w:cs="宋体"/>
          <w:b/>
          <w:bCs/>
          <w:color w:val="auto"/>
          <w:sz w:val="24"/>
          <w:szCs w:val="24"/>
          <w:highlight w:val="none"/>
        </w:rPr>
        <w:t xml:space="preserve">3. </w:t>
      </w:r>
      <w:r>
        <w:rPr>
          <w:rFonts w:hint="eastAsia" w:hAnsi="宋体" w:cs="宋体"/>
          <w:b/>
          <w:bCs/>
          <w:color w:val="auto"/>
          <w:sz w:val="24"/>
          <w:szCs w:val="24"/>
          <w:highlight w:val="none"/>
        </w:rPr>
        <w:t>投标费用</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无论投标过程中的作法和结果如何，供应商准备和参加投标活动发生的费用自理。供应商应承担所有与编写和递交磋商响应文件有关的费用，采购人和采购机构在任何情况下不负担这些费用。</w:t>
      </w:r>
    </w:p>
    <w:p>
      <w:pPr>
        <w:pStyle w:val="4"/>
        <w:spacing w:before="0" w:after="0"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二、</w:t>
      </w:r>
      <w:r>
        <w:rPr>
          <w:rFonts w:hint="eastAsia" w:ascii="宋体" w:hAnsi="宋体" w:eastAsia="宋体" w:cs="Times New Roman"/>
          <w:b/>
          <w:color w:val="auto"/>
          <w:sz w:val="24"/>
          <w:szCs w:val="24"/>
          <w:highlight w:val="none"/>
        </w:rPr>
        <w:t>磋商文件</w:t>
      </w:r>
    </w:p>
    <w:p>
      <w:pPr>
        <w:spacing w:line="360" w:lineRule="auto"/>
        <w:rPr>
          <w:rFonts w:hAnsi="宋体"/>
          <w:b/>
          <w:color w:val="auto"/>
          <w:sz w:val="24"/>
          <w:szCs w:val="24"/>
          <w:highlight w:val="none"/>
        </w:rPr>
      </w:pPr>
      <w:r>
        <w:rPr>
          <w:rFonts w:hAnsi="宋体"/>
          <w:b/>
          <w:color w:val="auto"/>
          <w:sz w:val="24"/>
          <w:szCs w:val="24"/>
          <w:highlight w:val="none"/>
        </w:rPr>
        <w:t xml:space="preserve">4. </w:t>
      </w:r>
      <w:r>
        <w:rPr>
          <w:rFonts w:hint="eastAsia" w:hAnsi="宋体"/>
          <w:b/>
          <w:color w:val="auto"/>
          <w:sz w:val="24"/>
          <w:szCs w:val="24"/>
          <w:highlight w:val="none"/>
        </w:rPr>
        <w:t>磋商文件的构成</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4.1 </w:t>
      </w:r>
      <w:r>
        <w:rPr>
          <w:rFonts w:hint="eastAsia" w:hAnsi="宋体"/>
          <w:color w:val="auto"/>
          <w:sz w:val="24"/>
          <w:szCs w:val="24"/>
          <w:highlight w:val="none"/>
        </w:rPr>
        <w:t>磋商文件包括：</w:t>
      </w:r>
    </w:p>
    <w:p>
      <w:pPr>
        <w:widowControl/>
        <w:numPr>
          <w:ilvl w:val="0"/>
          <w:numId w:val="7"/>
        </w:numPr>
        <w:autoSpaceDE w:val="0"/>
        <w:autoSpaceDN w:val="0"/>
        <w:spacing w:line="360" w:lineRule="auto"/>
        <w:ind w:firstLine="480" w:firstLineChars="200"/>
        <w:textAlignment w:val="bottom"/>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磋商公告</w:t>
      </w:r>
    </w:p>
    <w:p>
      <w:pPr>
        <w:widowControl/>
        <w:numPr>
          <w:ilvl w:val="0"/>
          <w:numId w:val="7"/>
        </w:numPr>
        <w:autoSpaceDE w:val="0"/>
        <w:autoSpaceDN w:val="0"/>
        <w:spacing w:line="360" w:lineRule="auto"/>
        <w:ind w:firstLine="480" w:firstLineChars="200"/>
        <w:textAlignment w:val="bottom"/>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采购人需求书</w:t>
      </w:r>
    </w:p>
    <w:p>
      <w:pPr>
        <w:widowControl/>
        <w:autoSpaceDE w:val="0"/>
        <w:autoSpaceDN w:val="0"/>
        <w:spacing w:line="360" w:lineRule="auto"/>
        <w:ind w:firstLine="480" w:firstLineChars="200"/>
        <w:textAlignment w:val="bottom"/>
        <w:rPr>
          <w:rFonts w:hAnsi="宋体"/>
          <w:color w:val="auto"/>
          <w:sz w:val="24"/>
          <w:szCs w:val="24"/>
          <w:highlight w:val="none"/>
        </w:rPr>
      </w:pPr>
      <w:r>
        <w:rPr>
          <w:rFonts w:hint="eastAsia" w:hAnsi="宋体"/>
          <w:color w:val="auto"/>
          <w:sz w:val="24"/>
          <w:szCs w:val="24"/>
          <w:highlight w:val="none"/>
        </w:rPr>
        <w:t>第三章</w:t>
      </w:r>
      <w:r>
        <w:rPr>
          <w:rFonts w:hAnsi="宋体"/>
          <w:color w:val="auto"/>
          <w:sz w:val="24"/>
          <w:szCs w:val="24"/>
          <w:highlight w:val="none"/>
        </w:rPr>
        <w:t xml:space="preserve">  </w:t>
      </w:r>
      <w:r>
        <w:rPr>
          <w:rFonts w:hint="eastAsia" w:hAnsi="宋体"/>
          <w:color w:val="auto"/>
          <w:sz w:val="24"/>
          <w:szCs w:val="24"/>
          <w:highlight w:val="none"/>
        </w:rPr>
        <w:t>供应商须知</w:t>
      </w:r>
    </w:p>
    <w:p>
      <w:pPr>
        <w:widowControl/>
        <w:autoSpaceDE w:val="0"/>
        <w:autoSpaceDN w:val="0"/>
        <w:spacing w:line="360" w:lineRule="auto"/>
        <w:ind w:firstLine="480" w:firstLineChars="200"/>
        <w:textAlignment w:val="bottom"/>
        <w:rPr>
          <w:rFonts w:hAnsi="宋体"/>
          <w:color w:val="auto"/>
          <w:sz w:val="24"/>
          <w:szCs w:val="24"/>
          <w:highlight w:val="none"/>
        </w:rPr>
      </w:pPr>
      <w:r>
        <w:rPr>
          <w:rFonts w:hint="eastAsia" w:hAnsi="宋体"/>
          <w:color w:val="auto"/>
          <w:sz w:val="24"/>
          <w:szCs w:val="24"/>
          <w:highlight w:val="none"/>
        </w:rPr>
        <w:t>第四章</w:t>
      </w:r>
      <w:r>
        <w:rPr>
          <w:rFonts w:hAnsi="宋体"/>
          <w:color w:val="auto"/>
          <w:sz w:val="24"/>
          <w:szCs w:val="24"/>
          <w:highlight w:val="none"/>
        </w:rPr>
        <w:t xml:space="preserve">  </w:t>
      </w:r>
      <w:r>
        <w:rPr>
          <w:rFonts w:hint="eastAsia" w:hAnsi="宋体"/>
          <w:color w:val="auto"/>
          <w:sz w:val="24"/>
          <w:szCs w:val="24"/>
          <w:highlight w:val="none"/>
        </w:rPr>
        <w:t>评审办法和程序</w:t>
      </w:r>
    </w:p>
    <w:p>
      <w:pPr>
        <w:widowControl/>
        <w:autoSpaceDE w:val="0"/>
        <w:autoSpaceDN w:val="0"/>
        <w:spacing w:line="360" w:lineRule="auto"/>
        <w:ind w:firstLine="480" w:firstLineChars="200"/>
        <w:textAlignment w:val="bottom"/>
        <w:rPr>
          <w:rFonts w:hAnsi="宋体"/>
          <w:color w:val="auto"/>
          <w:sz w:val="24"/>
          <w:szCs w:val="24"/>
          <w:highlight w:val="none"/>
        </w:rPr>
      </w:pPr>
      <w:r>
        <w:rPr>
          <w:rFonts w:hint="eastAsia" w:hAnsi="宋体"/>
          <w:color w:val="auto"/>
          <w:sz w:val="24"/>
          <w:szCs w:val="24"/>
          <w:highlight w:val="none"/>
        </w:rPr>
        <w:t>第五章</w:t>
      </w:r>
      <w:r>
        <w:rPr>
          <w:rFonts w:hAnsi="宋体"/>
          <w:color w:val="auto"/>
          <w:sz w:val="24"/>
          <w:szCs w:val="24"/>
          <w:highlight w:val="none"/>
        </w:rPr>
        <w:t xml:space="preserve">  </w:t>
      </w:r>
      <w:r>
        <w:rPr>
          <w:rFonts w:hint="eastAsia" w:hAnsi="宋体"/>
          <w:color w:val="auto"/>
          <w:sz w:val="24"/>
          <w:szCs w:val="24"/>
          <w:highlight w:val="none"/>
        </w:rPr>
        <w:t>合同条款</w:t>
      </w:r>
    </w:p>
    <w:p>
      <w:pPr>
        <w:widowControl/>
        <w:autoSpaceDE w:val="0"/>
        <w:autoSpaceDN w:val="0"/>
        <w:spacing w:line="360" w:lineRule="auto"/>
        <w:ind w:firstLine="480" w:firstLineChars="200"/>
        <w:textAlignment w:val="bottom"/>
        <w:rPr>
          <w:rFonts w:hAnsi="宋体"/>
          <w:color w:val="auto"/>
          <w:sz w:val="24"/>
          <w:szCs w:val="24"/>
          <w:highlight w:val="none"/>
        </w:rPr>
      </w:pPr>
      <w:r>
        <w:rPr>
          <w:rFonts w:hint="eastAsia" w:hAnsi="宋体"/>
          <w:color w:val="auto"/>
          <w:sz w:val="24"/>
          <w:szCs w:val="24"/>
          <w:highlight w:val="none"/>
        </w:rPr>
        <w:t>第六章</w:t>
      </w:r>
      <w:r>
        <w:rPr>
          <w:rFonts w:hAnsi="宋体"/>
          <w:color w:val="auto"/>
          <w:sz w:val="24"/>
          <w:szCs w:val="24"/>
          <w:highlight w:val="none"/>
        </w:rPr>
        <w:t xml:space="preserve">  </w:t>
      </w:r>
      <w:r>
        <w:rPr>
          <w:rFonts w:hint="eastAsia" w:hAnsi="宋体"/>
          <w:color w:val="auto"/>
          <w:sz w:val="24"/>
          <w:szCs w:val="24"/>
          <w:highlight w:val="none"/>
        </w:rPr>
        <w:t>磋商响应文件格式</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4.2 </w:t>
      </w:r>
      <w:r>
        <w:rPr>
          <w:rFonts w:hint="eastAsia" w:hAnsi="宋体"/>
          <w:color w:val="auto"/>
          <w:sz w:val="24"/>
          <w:szCs w:val="24"/>
          <w:highlight w:val="none"/>
        </w:rPr>
        <w:t>供应商应审阅磋商文件中所有须知、格式、条款和规格。供应商未按磋商文件要求提供全部资料或提交的磋商响应文件未对磋商文件作出实质性响应，那么供应商将承担其风险并有可能导致磋商文件被拒绝。</w:t>
      </w:r>
    </w:p>
    <w:p>
      <w:pPr>
        <w:spacing w:line="360" w:lineRule="auto"/>
        <w:rPr>
          <w:rFonts w:hAnsi="宋体"/>
          <w:b/>
          <w:color w:val="auto"/>
          <w:sz w:val="24"/>
          <w:szCs w:val="24"/>
          <w:highlight w:val="none"/>
        </w:rPr>
      </w:pPr>
      <w:r>
        <w:rPr>
          <w:rFonts w:hAnsi="宋体"/>
          <w:b/>
          <w:color w:val="auto"/>
          <w:sz w:val="24"/>
          <w:szCs w:val="24"/>
          <w:highlight w:val="none"/>
        </w:rPr>
        <w:t xml:space="preserve">5. </w:t>
      </w:r>
      <w:r>
        <w:rPr>
          <w:rFonts w:hint="eastAsia" w:hAnsi="宋体"/>
          <w:b/>
          <w:color w:val="auto"/>
          <w:sz w:val="24"/>
          <w:szCs w:val="24"/>
          <w:highlight w:val="none"/>
        </w:rPr>
        <w:t>磋商文件的澄清</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任何对磋商文件提出澄清的供应商，应在《供应商须知前附表》中规定的提交响应文件截止之日前</w:t>
      </w:r>
      <w:r>
        <w:rPr>
          <w:rFonts w:hAnsi="宋体"/>
          <w:color w:val="auto"/>
          <w:sz w:val="24"/>
          <w:szCs w:val="24"/>
          <w:highlight w:val="none"/>
        </w:rPr>
        <w:t>5</w:t>
      </w:r>
      <w:r>
        <w:rPr>
          <w:rFonts w:hint="eastAsia" w:hAnsi="宋体"/>
          <w:color w:val="auto"/>
          <w:sz w:val="24"/>
          <w:szCs w:val="24"/>
          <w:highlight w:val="none"/>
        </w:rPr>
        <w:t>日以书面形式通知采购代理机构。采购机构将视情况对提交响应文件截止之日前</w:t>
      </w:r>
      <w:r>
        <w:rPr>
          <w:rFonts w:hAnsi="宋体"/>
          <w:color w:val="auto"/>
          <w:sz w:val="24"/>
          <w:szCs w:val="24"/>
          <w:highlight w:val="none"/>
        </w:rPr>
        <w:t>5</w:t>
      </w:r>
      <w:r>
        <w:rPr>
          <w:rFonts w:hint="eastAsia" w:hAnsi="宋体"/>
          <w:color w:val="auto"/>
          <w:sz w:val="24"/>
          <w:szCs w:val="24"/>
          <w:highlight w:val="none"/>
        </w:rPr>
        <w:t>日收到的澄清要求采用适当方式或以书面形式予以答复，并在其认为必要时，将不标明查询来源的书面答复发给每一已购买磋商文件的潜在供应商。</w:t>
      </w:r>
    </w:p>
    <w:p>
      <w:pPr>
        <w:spacing w:line="360" w:lineRule="auto"/>
        <w:rPr>
          <w:rFonts w:hAnsi="宋体"/>
          <w:b/>
          <w:color w:val="auto"/>
          <w:sz w:val="24"/>
          <w:szCs w:val="24"/>
          <w:highlight w:val="none"/>
        </w:rPr>
      </w:pPr>
      <w:r>
        <w:rPr>
          <w:rFonts w:hAnsi="宋体"/>
          <w:b/>
          <w:color w:val="auto"/>
          <w:sz w:val="24"/>
          <w:szCs w:val="24"/>
          <w:highlight w:val="none"/>
        </w:rPr>
        <w:t xml:space="preserve">6. </w:t>
      </w:r>
      <w:r>
        <w:rPr>
          <w:rFonts w:hint="eastAsia" w:hAnsi="宋体"/>
          <w:b/>
          <w:color w:val="auto"/>
          <w:sz w:val="24"/>
          <w:szCs w:val="24"/>
          <w:highlight w:val="none"/>
        </w:rPr>
        <w:t>磋商文件的修改</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在提交磋商响应文件截止之日前</w:t>
      </w:r>
      <w:r>
        <w:rPr>
          <w:rFonts w:hAnsi="宋体"/>
          <w:color w:val="auto"/>
          <w:sz w:val="24"/>
          <w:szCs w:val="24"/>
          <w:highlight w:val="none"/>
        </w:rPr>
        <w:t>5</w:t>
      </w:r>
      <w:r>
        <w:rPr>
          <w:rFonts w:hint="eastAsia" w:hAnsi="宋体"/>
          <w:color w:val="auto"/>
          <w:sz w:val="24"/>
          <w:szCs w:val="24"/>
          <w:highlight w:val="none"/>
        </w:rPr>
        <w:t>日的任何时候，无论何故，采购人可主动地或在答复供应商提出澄清的问题时对磋商文件进行修改。</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磋商文件的修改将以书面形式通知所有购买磋商文件的供应商，并对其具有约束力。</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为使供应商在准备磋商响应文件时有合理的时间考虑磋商文件的修改，采购人可酌情推迟提交响应文件截止之日。</w:t>
      </w:r>
    </w:p>
    <w:p>
      <w:pPr>
        <w:pStyle w:val="4"/>
        <w:spacing w:before="0" w:after="0" w:line="360" w:lineRule="auto"/>
        <w:rPr>
          <w:rFonts w:ascii="宋体" w:hAnsi="宋体" w:eastAsia="宋体"/>
          <w:bCs/>
          <w:color w:val="auto"/>
          <w:sz w:val="24"/>
          <w:szCs w:val="24"/>
          <w:highlight w:val="none"/>
        </w:rPr>
      </w:pPr>
      <w:bookmarkStart w:id="48" w:name="_投标文件的编制"/>
      <w:bookmarkEnd w:id="48"/>
      <w:bookmarkStart w:id="49" w:name="_Toc495679401"/>
      <w:r>
        <w:rPr>
          <w:rFonts w:hint="eastAsia" w:ascii="宋体" w:hAnsi="宋体" w:eastAsia="宋体"/>
          <w:color w:val="auto"/>
          <w:sz w:val="24"/>
          <w:szCs w:val="24"/>
          <w:highlight w:val="none"/>
        </w:rPr>
        <w:t>三、磋商响应文件的编制</w:t>
      </w:r>
      <w:bookmarkEnd w:id="49"/>
    </w:p>
    <w:p>
      <w:pPr>
        <w:spacing w:line="360" w:lineRule="auto"/>
        <w:rPr>
          <w:rFonts w:hAnsi="宋体"/>
          <w:b/>
          <w:color w:val="auto"/>
          <w:sz w:val="24"/>
          <w:szCs w:val="24"/>
          <w:highlight w:val="none"/>
        </w:rPr>
      </w:pPr>
      <w:r>
        <w:rPr>
          <w:rFonts w:hAnsi="宋体"/>
          <w:b/>
          <w:color w:val="auto"/>
          <w:sz w:val="24"/>
          <w:szCs w:val="24"/>
          <w:highlight w:val="none"/>
        </w:rPr>
        <w:t xml:space="preserve">7. </w:t>
      </w:r>
      <w:r>
        <w:rPr>
          <w:rFonts w:hint="eastAsia" w:hAnsi="宋体"/>
          <w:b/>
          <w:color w:val="auto"/>
          <w:sz w:val="24"/>
          <w:szCs w:val="24"/>
          <w:highlight w:val="none"/>
        </w:rPr>
        <w:t>投标使用的文字</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磋商响应文件所有部分均应以中文编制。</w:t>
      </w:r>
    </w:p>
    <w:p>
      <w:pPr>
        <w:spacing w:line="360" w:lineRule="auto"/>
        <w:rPr>
          <w:rFonts w:hAnsi="宋体"/>
          <w:b/>
          <w:color w:val="auto"/>
          <w:sz w:val="24"/>
          <w:szCs w:val="24"/>
          <w:highlight w:val="none"/>
        </w:rPr>
      </w:pPr>
      <w:r>
        <w:rPr>
          <w:rFonts w:hAnsi="宋体"/>
          <w:b/>
          <w:color w:val="auto"/>
          <w:sz w:val="24"/>
          <w:szCs w:val="24"/>
          <w:highlight w:val="none"/>
        </w:rPr>
        <w:t xml:space="preserve">8. </w:t>
      </w:r>
      <w:r>
        <w:rPr>
          <w:rFonts w:hint="eastAsia" w:hAnsi="宋体"/>
          <w:b/>
          <w:color w:val="auto"/>
          <w:sz w:val="24"/>
          <w:szCs w:val="24"/>
          <w:highlight w:val="none"/>
        </w:rPr>
        <w:t>磋商文件的组成</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供应商应按第六章《磋商响应文件格式》中规定的结构和顺序编制磋商文件。</w:t>
      </w:r>
    </w:p>
    <w:p>
      <w:pPr>
        <w:spacing w:line="360" w:lineRule="auto"/>
        <w:rPr>
          <w:rFonts w:hAnsi="宋体"/>
          <w:b/>
          <w:color w:val="auto"/>
          <w:sz w:val="24"/>
          <w:szCs w:val="24"/>
          <w:highlight w:val="none"/>
        </w:rPr>
      </w:pPr>
      <w:r>
        <w:rPr>
          <w:rFonts w:hAnsi="宋体"/>
          <w:b/>
          <w:color w:val="auto"/>
          <w:sz w:val="24"/>
          <w:szCs w:val="24"/>
          <w:highlight w:val="none"/>
        </w:rPr>
        <w:t xml:space="preserve">9. </w:t>
      </w:r>
      <w:r>
        <w:rPr>
          <w:rFonts w:hint="eastAsia" w:hAnsi="宋体"/>
          <w:b/>
          <w:color w:val="auto"/>
          <w:sz w:val="24"/>
          <w:szCs w:val="24"/>
          <w:highlight w:val="none"/>
        </w:rPr>
        <w:t>磋商响应文件格式</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供应商应按磋商文件第六章提供的磋商响应文件格式编制磋商响应文件。</w:t>
      </w:r>
    </w:p>
    <w:p>
      <w:pPr>
        <w:spacing w:line="360" w:lineRule="auto"/>
        <w:rPr>
          <w:rFonts w:hAnsi="宋体"/>
          <w:b/>
          <w:color w:val="auto"/>
          <w:sz w:val="24"/>
          <w:szCs w:val="24"/>
          <w:highlight w:val="none"/>
        </w:rPr>
      </w:pPr>
      <w:r>
        <w:rPr>
          <w:rFonts w:hAnsi="宋体"/>
          <w:b/>
          <w:color w:val="auto"/>
          <w:sz w:val="24"/>
          <w:szCs w:val="24"/>
          <w:highlight w:val="none"/>
        </w:rPr>
        <w:t xml:space="preserve">10. </w:t>
      </w:r>
      <w:r>
        <w:rPr>
          <w:rFonts w:hint="eastAsia" w:hAnsi="宋体"/>
          <w:b/>
          <w:color w:val="auto"/>
          <w:sz w:val="24"/>
          <w:szCs w:val="24"/>
          <w:highlight w:val="none"/>
        </w:rPr>
        <w:t>磋商报价</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10.</w:t>
      </w:r>
      <w:r>
        <w:rPr>
          <w:rFonts w:hint="eastAsia" w:hAnsi="宋体"/>
          <w:color w:val="auto"/>
          <w:sz w:val="24"/>
          <w:szCs w:val="24"/>
          <w:highlight w:val="none"/>
        </w:rPr>
        <w:t>1</w:t>
      </w:r>
      <w:r>
        <w:rPr>
          <w:rFonts w:hAnsi="宋体"/>
          <w:color w:val="auto"/>
          <w:sz w:val="24"/>
          <w:szCs w:val="24"/>
          <w:highlight w:val="none"/>
        </w:rPr>
        <w:t xml:space="preserve"> </w:t>
      </w:r>
      <w:r>
        <w:rPr>
          <w:rFonts w:hint="eastAsia" w:hAnsi="宋体"/>
          <w:color w:val="auto"/>
          <w:sz w:val="24"/>
          <w:szCs w:val="24"/>
          <w:highlight w:val="none"/>
        </w:rPr>
        <w:t>其他要求见《供应商须知前附表》。</w:t>
      </w:r>
    </w:p>
    <w:p>
      <w:pPr>
        <w:spacing w:line="360" w:lineRule="auto"/>
        <w:rPr>
          <w:rFonts w:hAnsi="宋体"/>
          <w:b/>
          <w:color w:val="auto"/>
          <w:sz w:val="24"/>
          <w:szCs w:val="24"/>
          <w:highlight w:val="none"/>
        </w:rPr>
      </w:pPr>
      <w:r>
        <w:rPr>
          <w:rFonts w:hAnsi="宋体"/>
          <w:b/>
          <w:color w:val="auto"/>
          <w:sz w:val="24"/>
          <w:szCs w:val="24"/>
          <w:highlight w:val="none"/>
        </w:rPr>
        <w:t xml:space="preserve">11. </w:t>
      </w:r>
      <w:r>
        <w:rPr>
          <w:rFonts w:hint="eastAsia" w:hAnsi="宋体"/>
          <w:b/>
          <w:color w:val="auto"/>
          <w:sz w:val="24"/>
          <w:szCs w:val="24"/>
          <w:highlight w:val="none"/>
        </w:rPr>
        <w:t>投标货币</w:t>
      </w:r>
    </w:p>
    <w:p>
      <w:pPr>
        <w:spacing w:line="360" w:lineRule="auto"/>
        <w:ind w:firstLine="480" w:firstLineChars="200"/>
        <w:rPr>
          <w:rFonts w:hAnsi="宋体"/>
          <w:color w:val="auto"/>
          <w:sz w:val="24"/>
          <w:szCs w:val="24"/>
          <w:highlight w:val="none"/>
        </w:rPr>
      </w:pPr>
      <w:r>
        <w:rPr>
          <w:rFonts w:hint="eastAsia" w:hAnsi="宋体" w:cs="Arial"/>
          <w:color w:val="auto"/>
          <w:sz w:val="24"/>
          <w:szCs w:val="24"/>
          <w:highlight w:val="none"/>
        </w:rPr>
        <w:t>本次采购的货物以人民币进行报价</w:t>
      </w:r>
      <w:r>
        <w:rPr>
          <w:rFonts w:hint="eastAsia" w:hAnsi="宋体"/>
          <w:color w:val="auto"/>
          <w:sz w:val="24"/>
          <w:szCs w:val="24"/>
          <w:highlight w:val="none"/>
        </w:rPr>
        <w:t>，以其它货币标价的投标将被拒绝。</w:t>
      </w:r>
    </w:p>
    <w:p>
      <w:pPr>
        <w:spacing w:line="360" w:lineRule="auto"/>
        <w:rPr>
          <w:rFonts w:hAnsi="宋体"/>
          <w:b/>
          <w:color w:val="auto"/>
          <w:sz w:val="24"/>
          <w:szCs w:val="24"/>
          <w:highlight w:val="none"/>
        </w:rPr>
      </w:pPr>
      <w:r>
        <w:rPr>
          <w:rFonts w:hAnsi="宋体"/>
          <w:b/>
          <w:color w:val="auto"/>
          <w:sz w:val="24"/>
          <w:szCs w:val="24"/>
          <w:highlight w:val="none"/>
        </w:rPr>
        <w:t xml:space="preserve">12. </w:t>
      </w:r>
      <w:r>
        <w:rPr>
          <w:rFonts w:hint="eastAsia" w:hAnsi="宋体"/>
          <w:b/>
          <w:color w:val="auto"/>
          <w:sz w:val="24"/>
          <w:szCs w:val="24"/>
          <w:highlight w:val="none"/>
        </w:rPr>
        <w:t>供应商的合格性和资格的声明文件</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12.1</w:t>
      </w:r>
      <w:r>
        <w:rPr>
          <w:rFonts w:hint="eastAsia" w:hAnsi="宋体"/>
          <w:color w:val="auto"/>
          <w:sz w:val="24"/>
          <w:szCs w:val="24"/>
          <w:highlight w:val="none"/>
        </w:rPr>
        <w:t>供应商须提交证明其有资格进行投标和有能力履行合同的文件，做为磋商文件的一部分。</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12.2 </w:t>
      </w:r>
      <w:r>
        <w:rPr>
          <w:rFonts w:hint="eastAsia" w:hAnsi="宋体"/>
          <w:color w:val="auto"/>
          <w:sz w:val="24"/>
          <w:szCs w:val="24"/>
          <w:highlight w:val="none"/>
        </w:rPr>
        <w:t>供应商提供的履行合同的资格声明文件应使采购人满意：</w:t>
      </w:r>
    </w:p>
    <w:p>
      <w:pPr>
        <w:spacing w:line="360" w:lineRule="auto"/>
        <w:ind w:left="820" w:leftChars="100" w:hanging="480" w:hanging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）供应商具有履行合同所需的财务、技术和生产能力；</w:t>
      </w:r>
    </w:p>
    <w:p>
      <w:pPr>
        <w:spacing w:line="360" w:lineRule="auto"/>
        <w:ind w:left="820" w:leftChars="100" w:hanging="480" w:hanging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）供应商应填写并提交磋商文件第六章上所附的“资格证明文件”</w:t>
      </w:r>
      <w:r>
        <w:rPr>
          <w:rFonts w:hAnsi="宋体"/>
          <w:color w:val="auto"/>
          <w:sz w:val="24"/>
          <w:szCs w:val="24"/>
          <w:highlight w:val="none"/>
        </w:rPr>
        <w:t xml:space="preserve"> </w:t>
      </w:r>
      <w:r>
        <w:rPr>
          <w:rFonts w:hint="eastAsia" w:hAnsi="宋体"/>
          <w:color w:val="auto"/>
          <w:sz w:val="24"/>
          <w:szCs w:val="24"/>
          <w:highlight w:val="none"/>
        </w:rPr>
        <w:t>中的所有内容。</w:t>
      </w:r>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13. </w:t>
      </w:r>
      <w:r>
        <w:rPr>
          <w:rFonts w:hint="eastAsia" w:hAnsi="宋体"/>
          <w:b/>
          <w:color w:val="auto"/>
          <w:sz w:val="24"/>
          <w:szCs w:val="24"/>
          <w:highlight w:val="none"/>
        </w:rPr>
        <w:t>货物的合格性及符合磋商文件规定的证明文件</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13.1 </w:t>
      </w:r>
      <w:r>
        <w:rPr>
          <w:rFonts w:hint="eastAsia" w:hAnsi="宋体"/>
          <w:color w:val="auto"/>
          <w:sz w:val="24"/>
          <w:szCs w:val="24"/>
          <w:highlight w:val="none"/>
        </w:rPr>
        <w:t>供应商须提交证明其拟供货物和辅助服务的合格性并符合磋商文件规定的证明文件，作为磋商文件的一部分。证明文件可以是文字资料、彩页和数据。</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13.2 </w:t>
      </w:r>
      <w:r>
        <w:rPr>
          <w:rFonts w:hint="eastAsia" w:hAnsi="宋体"/>
          <w:color w:val="auto"/>
          <w:sz w:val="24"/>
          <w:szCs w:val="24"/>
          <w:highlight w:val="none"/>
        </w:rPr>
        <w:t>磋商文件规定的其他必要文件。</w:t>
      </w:r>
    </w:p>
    <w:p>
      <w:pPr>
        <w:spacing w:line="360" w:lineRule="auto"/>
        <w:ind w:left="482" w:hanging="482" w:hangingChars="200"/>
        <w:rPr>
          <w:rFonts w:hint="eastAsia" w:hAnsi="宋体" w:eastAsia="宋体"/>
          <w:b/>
          <w:color w:val="auto"/>
          <w:sz w:val="24"/>
          <w:szCs w:val="24"/>
          <w:highlight w:val="none"/>
          <w:lang w:eastAsia="zh-CN"/>
        </w:rPr>
      </w:pPr>
      <w:r>
        <w:rPr>
          <w:rFonts w:hAnsi="宋体"/>
          <w:b/>
          <w:color w:val="auto"/>
          <w:sz w:val="24"/>
          <w:szCs w:val="24"/>
          <w:highlight w:val="none"/>
        </w:rPr>
        <w:t xml:space="preserve">14. </w:t>
      </w:r>
      <w:r>
        <w:rPr>
          <w:rFonts w:hint="eastAsia" w:hAnsi="宋体"/>
          <w:b/>
          <w:color w:val="auto"/>
          <w:sz w:val="24"/>
          <w:szCs w:val="24"/>
          <w:highlight w:val="none"/>
        </w:rPr>
        <w:t>磋商保证金</w:t>
      </w:r>
      <w:r>
        <w:rPr>
          <w:rFonts w:hint="eastAsia" w:hAnsi="宋体"/>
          <w:b/>
          <w:color w:val="auto"/>
          <w:sz w:val="24"/>
          <w:szCs w:val="24"/>
          <w:highlight w:val="none"/>
          <w:lang w:eastAsia="zh-CN"/>
        </w:rPr>
        <w:t>（</w:t>
      </w:r>
      <w:r>
        <w:rPr>
          <w:rFonts w:hint="eastAsia" w:hAnsi="宋体"/>
          <w:b/>
          <w:color w:val="auto"/>
          <w:sz w:val="24"/>
          <w:szCs w:val="24"/>
          <w:highlight w:val="none"/>
          <w:lang w:val="en-US" w:eastAsia="zh-CN"/>
        </w:rPr>
        <w:t>本项目不作要求</w:t>
      </w:r>
      <w:r>
        <w:rPr>
          <w:rFonts w:hint="eastAsia" w:hAnsi="宋体"/>
          <w:b/>
          <w:color w:val="auto"/>
          <w:sz w:val="24"/>
          <w:szCs w:val="24"/>
          <w:highlight w:val="none"/>
          <w:lang w:eastAsia="zh-CN"/>
        </w:rPr>
        <w:t>）</w:t>
      </w:r>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15. </w:t>
      </w:r>
      <w:r>
        <w:rPr>
          <w:rFonts w:hint="eastAsia" w:hAnsi="宋体"/>
          <w:b/>
          <w:color w:val="auto"/>
          <w:sz w:val="24"/>
          <w:szCs w:val="24"/>
          <w:highlight w:val="none"/>
        </w:rPr>
        <w:t>投标有效期</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15.1 </w:t>
      </w:r>
      <w:r>
        <w:rPr>
          <w:rFonts w:hint="eastAsia" w:hAnsi="宋体"/>
          <w:color w:val="auto"/>
          <w:sz w:val="24"/>
          <w:szCs w:val="24"/>
          <w:highlight w:val="none"/>
        </w:rPr>
        <w:t>磋商响应文件将在开标日期后《供应商须知前附表》中规定的时间内有效。投标有效期比规定短的可以视为非响应标予以拒绝。</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15.2 </w:t>
      </w:r>
      <w:r>
        <w:rPr>
          <w:rFonts w:hint="eastAsia" w:hAnsi="宋体"/>
          <w:color w:val="auto"/>
          <w:sz w:val="24"/>
          <w:szCs w:val="24"/>
          <w:highlight w:val="none"/>
        </w:rPr>
        <w:t>在特殊情况下，采购人可于投标有效期满之前要求供应商同意延长有效期。要求与答复均应为书面形式往来。供应商可以拒绝上述要求。对于同意该要求的供应商，既不要求也不允许其修改磋商文件。</w:t>
      </w:r>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16. </w:t>
      </w:r>
      <w:r>
        <w:rPr>
          <w:rFonts w:hint="eastAsia" w:hAnsi="宋体"/>
          <w:b/>
          <w:color w:val="auto"/>
          <w:sz w:val="24"/>
          <w:szCs w:val="24"/>
          <w:highlight w:val="none"/>
        </w:rPr>
        <w:t>磋商响应文件的式样和签署</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16.1 </w:t>
      </w:r>
      <w:r>
        <w:rPr>
          <w:rFonts w:hint="eastAsia" w:hAnsi="宋体"/>
          <w:color w:val="auto"/>
          <w:sz w:val="24"/>
          <w:szCs w:val="24"/>
          <w:highlight w:val="none"/>
        </w:rPr>
        <w:t>供应商应按《供应商须知前附表》中规定的数量递交磋商响应文件，每一份磋商响应文件必须装订成册。并要明确注明“正本”和“副本”，如正本和副本或电子版有差异，以正本为准。</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16.2 </w:t>
      </w:r>
      <w:r>
        <w:rPr>
          <w:rFonts w:hint="eastAsia" w:hAnsi="宋体"/>
          <w:color w:val="auto"/>
          <w:sz w:val="24"/>
          <w:szCs w:val="24"/>
          <w:highlight w:val="none"/>
        </w:rPr>
        <w:t>磋商响应文件正本和副本须打印或用不退色墨水书写并由供应商或经正式授权并对供应商有合同约束力的人签字，后者须将“授权委托书”以书面形式附在磋商响应文件中。</w:t>
      </w:r>
      <w:r>
        <w:rPr>
          <w:rFonts w:hint="eastAsia" w:hAnsi="宋体"/>
          <w:b/>
          <w:color w:val="auto"/>
          <w:sz w:val="24"/>
          <w:szCs w:val="24"/>
          <w:highlight w:val="none"/>
        </w:rPr>
        <w:t>磋商响应文件副本可以是正本的复印件。</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16.3 </w:t>
      </w:r>
      <w:r>
        <w:rPr>
          <w:rFonts w:hint="eastAsia" w:hAnsi="宋体"/>
          <w:color w:val="auto"/>
          <w:sz w:val="24"/>
          <w:szCs w:val="24"/>
          <w:highlight w:val="none"/>
        </w:rPr>
        <w:t>除供应商对错处作必要修改外，磋商文件中不许有加行、涂抹或改写。若有修改须由签署磋商文件的人进行签字，并加盖公章，否则视为无效。</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16.4 </w:t>
      </w:r>
      <w:r>
        <w:rPr>
          <w:rFonts w:hint="eastAsia" w:hAnsi="宋体"/>
          <w:color w:val="auto"/>
          <w:sz w:val="24"/>
          <w:szCs w:val="24"/>
          <w:highlight w:val="none"/>
        </w:rPr>
        <w:t>传真投标、邮寄投标概不接受。</w:t>
      </w:r>
    </w:p>
    <w:p>
      <w:pPr>
        <w:pStyle w:val="4"/>
        <w:spacing w:before="0" w:after="0" w:line="360" w:lineRule="auto"/>
        <w:rPr>
          <w:rFonts w:ascii="宋体" w:hAnsi="宋体" w:eastAsia="宋体"/>
          <w:bCs/>
          <w:color w:val="auto"/>
          <w:sz w:val="24"/>
          <w:szCs w:val="24"/>
          <w:highlight w:val="none"/>
        </w:rPr>
      </w:pPr>
      <w:bookmarkStart w:id="50" w:name="_投标文件的递交"/>
      <w:bookmarkEnd w:id="50"/>
      <w:bookmarkStart w:id="51" w:name="_Toc495679402"/>
      <w:r>
        <w:rPr>
          <w:rFonts w:hint="eastAsia" w:ascii="宋体" w:hAnsi="宋体" w:eastAsia="宋体"/>
          <w:color w:val="auto"/>
          <w:sz w:val="24"/>
          <w:szCs w:val="24"/>
          <w:highlight w:val="none"/>
        </w:rPr>
        <w:t>四、磋商响应文件的递交</w:t>
      </w:r>
      <w:bookmarkEnd w:id="51"/>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17. </w:t>
      </w:r>
      <w:r>
        <w:rPr>
          <w:rFonts w:hint="eastAsia" w:hAnsi="宋体"/>
          <w:b/>
          <w:color w:val="auto"/>
          <w:sz w:val="24"/>
          <w:szCs w:val="24"/>
          <w:highlight w:val="none"/>
        </w:rPr>
        <w:t>磋商响应文件的密封和标记</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17.1</w:t>
      </w:r>
      <w:r>
        <w:rPr>
          <w:rFonts w:hint="eastAsia" w:hAnsi="宋体"/>
          <w:color w:val="auto"/>
          <w:sz w:val="24"/>
          <w:szCs w:val="24"/>
          <w:highlight w:val="none"/>
        </w:rPr>
        <w:t>供应商应将磋商响应文件正本、副本和电子版分别密封在投标专用袋（箱）中，并标明“正本”</w:t>
      </w:r>
      <w:r>
        <w:rPr>
          <w:rFonts w:hint="eastAsia" w:hAnsi="宋体"/>
          <w:color w:val="auto"/>
          <w:sz w:val="24"/>
          <w:szCs w:val="24"/>
          <w:highlight w:val="none"/>
          <w:lang w:eastAsia="zh-CN"/>
        </w:rPr>
        <w:t>、</w:t>
      </w:r>
      <w:r>
        <w:rPr>
          <w:rFonts w:hint="eastAsia" w:hAnsi="宋体"/>
          <w:color w:val="auto"/>
          <w:sz w:val="24"/>
          <w:szCs w:val="24"/>
          <w:highlight w:val="none"/>
        </w:rPr>
        <w:t>“副本”</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电子版</w:t>
      </w:r>
      <w:r>
        <w:rPr>
          <w:rFonts w:hint="eastAsia" w:hAnsi="宋体"/>
          <w:color w:val="auto"/>
          <w:sz w:val="24"/>
          <w:szCs w:val="24"/>
          <w:highlight w:val="none"/>
          <w:lang w:eastAsia="zh-CN"/>
        </w:rPr>
        <w:t>”</w:t>
      </w:r>
      <w:r>
        <w:rPr>
          <w:rFonts w:hint="eastAsia" w:hAnsi="宋体"/>
          <w:color w:val="auto"/>
          <w:sz w:val="24"/>
          <w:szCs w:val="24"/>
          <w:highlight w:val="none"/>
        </w:rPr>
        <w:t xml:space="preserve"> 。“正本”</w:t>
      </w:r>
      <w:r>
        <w:rPr>
          <w:rFonts w:hint="eastAsia" w:hAnsi="宋体"/>
          <w:color w:val="auto"/>
          <w:sz w:val="24"/>
          <w:szCs w:val="24"/>
          <w:highlight w:val="none"/>
          <w:lang w:eastAsia="zh-CN"/>
        </w:rPr>
        <w:t>、</w:t>
      </w:r>
      <w:r>
        <w:rPr>
          <w:rFonts w:hint="eastAsia" w:hAnsi="宋体"/>
          <w:color w:val="auto"/>
          <w:sz w:val="24"/>
          <w:szCs w:val="24"/>
          <w:highlight w:val="none"/>
        </w:rPr>
        <w:t>“副本”</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电子版</w:t>
      </w:r>
      <w:r>
        <w:rPr>
          <w:rFonts w:hint="eastAsia" w:hAnsi="宋体"/>
          <w:color w:val="auto"/>
          <w:sz w:val="24"/>
          <w:szCs w:val="24"/>
          <w:highlight w:val="none"/>
          <w:lang w:eastAsia="zh-CN"/>
        </w:rPr>
        <w:t>”</w:t>
      </w:r>
      <w:r>
        <w:rPr>
          <w:rFonts w:hint="eastAsia" w:hAnsi="宋体"/>
          <w:color w:val="auto"/>
          <w:sz w:val="24"/>
          <w:szCs w:val="24"/>
          <w:highlight w:val="none"/>
        </w:rPr>
        <w:t>的封口处均应加盖投标单位的公章，磋商响应文件正本</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副本</w:t>
      </w:r>
      <w:r>
        <w:rPr>
          <w:rFonts w:hint="eastAsia" w:hAnsi="宋体"/>
          <w:color w:val="auto"/>
          <w:sz w:val="24"/>
          <w:szCs w:val="24"/>
          <w:highlight w:val="none"/>
        </w:rPr>
        <w:t>需加盖骑缝章。</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17.2 </w:t>
      </w:r>
      <w:r>
        <w:rPr>
          <w:rFonts w:hint="eastAsia" w:hAnsi="宋体"/>
          <w:color w:val="auto"/>
          <w:sz w:val="24"/>
          <w:szCs w:val="24"/>
          <w:highlight w:val="none"/>
        </w:rPr>
        <w:t>““正本”</w:t>
      </w:r>
      <w:r>
        <w:rPr>
          <w:rFonts w:hint="eastAsia" w:hAnsi="宋体"/>
          <w:color w:val="auto"/>
          <w:sz w:val="24"/>
          <w:szCs w:val="24"/>
          <w:highlight w:val="none"/>
          <w:lang w:eastAsia="zh-CN"/>
        </w:rPr>
        <w:t>、</w:t>
      </w:r>
      <w:r>
        <w:rPr>
          <w:rFonts w:hint="eastAsia" w:hAnsi="宋体"/>
          <w:color w:val="auto"/>
          <w:sz w:val="24"/>
          <w:szCs w:val="24"/>
          <w:highlight w:val="none"/>
        </w:rPr>
        <w:t>“副本”</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电子版</w:t>
      </w:r>
      <w:r>
        <w:rPr>
          <w:rFonts w:hint="eastAsia" w:hAnsi="宋体"/>
          <w:color w:val="auto"/>
          <w:sz w:val="24"/>
          <w:szCs w:val="24"/>
          <w:highlight w:val="none"/>
          <w:lang w:eastAsia="zh-CN"/>
        </w:rPr>
        <w:t>”</w:t>
      </w:r>
      <w:r>
        <w:rPr>
          <w:rFonts w:hint="eastAsia" w:hAnsi="宋体"/>
          <w:color w:val="auto"/>
          <w:sz w:val="24"/>
          <w:szCs w:val="24"/>
          <w:highlight w:val="none"/>
        </w:rPr>
        <w:t>投标专用袋（箱）外包装均应写明：</w:t>
      </w:r>
    </w:p>
    <w:p>
      <w:pPr>
        <w:spacing w:line="360" w:lineRule="auto"/>
        <w:ind w:left="1020" w:leftChars="300"/>
        <w:rPr>
          <w:rFonts w:hint="eastAsia"/>
          <w:b/>
          <w:color w:val="auto"/>
          <w:sz w:val="24"/>
          <w:szCs w:val="24"/>
          <w:highlight w:val="none"/>
        </w:rPr>
      </w:pPr>
      <w:r>
        <w:rPr>
          <w:rFonts w:hint="eastAsia"/>
          <w:b/>
          <w:color w:val="auto"/>
          <w:sz w:val="24"/>
          <w:szCs w:val="24"/>
          <w:highlight w:val="none"/>
        </w:rPr>
        <w:t>致：海南和顺项目管理有限公司</w:t>
      </w:r>
    </w:p>
    <w:p>
      <w:pPr>
        <w:spacing w:line="360" w:lineRule="auto"/>
        <w:ind w:left="1020" w:leftChars="300"/>
        <w:rPr>
          <w:rFonts w:hint="eastAsia" w:hAnsi="宋体"/>
          <w:b/>
          <w:color w:val="auto"/>
          <w:sz w:val="24"/>
          <w:szCs w:val="24"/>
          <w:highlight w:val="none"/>
          <w:lang w:eastAsia="zh-CN"/>
        </w:rPr>
      </w:pPr>
      <w:r>
        <w:rPr>
          <w:rFonts w:hint="eastAsia"/>
          <w:b/>
          <w:color w:val="auto"/>
          <w:sz w:val="24"/>
          <w:szCs w:val="24"/>
          <w:highlight w:val="none"/>
        </w:rPr>
        <w:t>项目名称：</w:t>
      </w:r>
      <w:r>
        <w:rPr>
          <w:rFonts w:hint="eastAsia" w:hAnsi="宋体"/>
          <w:b/>
          <w:color w:val="auto"/>
          <w:sz w:val="24"/>
          <w:szCs w:val="24"/>
          <w:highlight w:val="none"/>
          <w:lang w:eastAsia="zh-CN"/>
        </w:rPr>
        <w:t>海南省安宁医院2023年度公开招聘编内人员委托服务项目</w:t>
      </w:r>
    </w:p>
    <w:p>
      <w:pPr>
        <w:spacing w:line="360" w:lineRule="auto"/>
        <w:ind w:left="1020" w:leftChars="300"/>
        <w:rPr>
          <w:rFonts w:hint="eastAsia" w:eastAsia="宋体"/>
          <w:b/>
          <w:color w:val="auto"/>
          <w:sz w:val="24"/>
          <w:szCs w:val="24"/>
          <w:highlight w:val="none"/>
          <w:lang w:eastAsia="zh-CN"/>
        </w:rPr>
      </w:pPr>
      <w:r>
        <w:rPr>
          <w:rFonts w:hint="eastAsia"/>
          <w:b/>
          <w:color w:val="auto"/>
          <w:sz w:val="24"/>
          <w:szCs w:val="24"/>
          <w:highlight w:val="none"/>
        </w:rPr>
        <w:t>项目编号：</w:t>
      </w:r>
      <w:r>
        <w:rPr>
          <w:rFonts w:hint="eastAsia"/>
          <w:b/>
          <w:color w:val="auto"/>
          <w:sz w:val="24"/>
          <w:szCs w:val="24"/>
          <w:highlight w:val="none"/>
          <w:lang w:eastAsia="zh-CN"/>
        </w:rPr>
        <w:t>HNHS-2024-011</w:t>
      </w:r>
    </w:p>
    <w:p>
      <w:pPr>
        <w:spacing w:line="360" w:lineRule="auto"/>
        <w:ind w:left="1020" w:leftChars="300"/>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包号：</w:t>
      </w:r>
    </w:p>
    <w:p>
      <w:pPr>
        <w:spacing w:line="360" w:lineRule="auto"/>
        <w:ind w:left="1020" w:leftChars="300"/>
        <w:rPr>
          <w:color w:val="auto"/>
          <w:highlight w:val="none"/>
          <w:lang w:val="en-US" w:eastAsia="zh-CN"/>
        </w:rPr>
      </w:pPr>
      <w:r>
        <w:rPr>
          <w:rFonts w:hint="eastAsia" w:hAnsi="宋体"/>
          <w:b/>
          <w:color w:val="auto"/>
          <w:sz w:val="24"/>
          <w:szCs w:val="24"/>
          <w:highlight w:val="none"/>
        </w:rPr>
        <w:t>（正本/副本）磋商响应文件</w:t>
      </w:r>
    </w:p>
    <w:p>
      <w:pPr>
        <w:spacing w:line="360" w:lineRule="auto"/>
        <w:ind w:left="1020" w:leftChars="300"/>
        <w:rPr>
          <w:rFonts w:hint="eastAsia"/>
          <w:b/>
          <w:color w:val="auto"/>
          <w:sz w:val="24"/>
          <w:szCs w:val="24"/>
          <w:highlight w:val="none"/>
        </w:rPr>
      </w:pPr>
      <w:r>
        <w:rPr>
          <w:rFonts w:hint="eastAsia"/>
          <w:b/>
          <w:color w:val="auto"/>
          <w:sz w:val="24"/>
          <w:szCs w:val="24"/>
          <w:highlight w:val="none"/>
        </w:rPr>
        <w:t>投标单位名称、联系人姓名和电话</w:t>
      </w:r>
    </w:p>
    <w:p>
      <w:pPr>
        <w:spacing w:line="360" w:lineRule="auto"/>
        <w:ind w:left="1020" w:leftChars="300"/>
        <w:rPr>
          <w:rFonts w:hint="eastAsia"/>
          <w:b/>
          <w:color w:val="auto"/>
          <w:sz w:val="24"/>
          <w:szCs w:val="24"/>
          <w:highlight w:val="none"/>
        </w:rPr>
      </w:pPr>
      <w:r>
        <w:rPr>
          <w:rFonts w:hint="eastAsia"/>
          <w:b/>
          <w:color w:val="auto"/>
          <w:sz w:val="24"/>
          <w:szCs w:val="24"/>
          <w:highlight w:val="none"/>
        </w:rPr>
        <w:t>注明：“请勿在开标时间（   年   月   日    时）之前启封”</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17.3 </w:t>
      </w:r>
      <w:r>
        <w:rPr>
          <w:rFonts w:hint="eastAsia" w:hAnsi="宋体"/>
          <w:color w:val="auto"/>
          <w:sz w:val="24"/>
          <w:szCs w:val="24"/>
          <w:highlight w:val="none"/>
        </w:rPr>
        <w:t>如果未按</w:t>
      </w:r>
      <w:r>
        <w:rPr>
          <w:rFonts w:hint="eastAsia" w:hAnsi="宋体"/>
          <w:color w:val="auto"/>
          <w:sz w:val="24"/>
          <w:highlight w:val="none"/>
        </w:rPr>
        <w:t>上述</w:t>
      </w:r>
      <w:r>
        <w:rPr>
          <w:rFonts w:hint="eastAsia" w:hAnsi="宋体"/>
          <w:color w:val="auto"/>
          <w:sz w:val="24"/>
          <w:szCs w:val="24"/>
          <w:highlight w:val="none"/>
        </w:rPr>
        <w:t>规定密封和标记，采购人对磋商响应文件的误投或提前拆封不负责任。对由此造成提前开封的磋商响应文件，采购人将予以拒绝，并退回供应商。</w:t>
      </w:r>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18. </w:t>
      </w:r>
      <w:r>
        <w:rPr>
          <w:rFonts w:hint="eastAsia" w:hAnsi="宋体"/>
          <w:b/>
          <w:color w:val="auto"/>
          <w:sz w:val="24"/>
          <w:szCs w:val="24"/>
          <w:highlight w:val="none"/>
        </w:rPr>
        <w:t>递交磋商响应文件的截止日期</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18.1 </w:t>
      </w:r>
      <w:r>
        <w:rPr>
          <w:rFonts w:hint="eastAsia" w:hAnsi="宋体"/>
          <w:color w:val="auto"/>
          <w:sz w:val="24"/>
          <w:szCs w:val="24"/>
          <w:highlight w:val="none"/>
        </w:rPr>
        <w:t>采购人收到磋商响应文件的时间不得迟于《供应商须知前附表》中规定的截止时间。</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18.2 </w:t>
      </w:r>
      <w:r>
        <w:rPr>
          <w:rFonts w:hint="eastAsia" w:hAnsi="宋体"/>
          <w:color w:val="auto"/>
          <w:sz w:val="24"/>
          <w:szCs w:val="24"/>
          <w:highlight w:val="none"/>
        </w:rPr>
        <w:t>采购人可按照有关规定修改磋商文件并酌情延长提交磋商响应文件的截止时间，因此，已规定的采购代理机构和供应商的一切权利和义务将按延期后的磋商响应文件递交截止时间履行。</w:t>
      </w:r>
    </w:p>
    <w:p>
      <w:pPr>
        <w:spacing w:line="360" w:lineRule="auto"/>
        <w:rPr>
          <w:rFonts w:hAnsi="宋体"/>
          <w:b/>
          <w:color w:val="auto"/>
          <w:sz w:val="24"/>
          <w:szCs w:val="24"/>
          <w:highlight w:val="none"/>
        </w:rPr>
      </w:pPr>
      <w:r>
        <w:rPr>
          <w:rFonts w:hAnsi="宋体"/>
          <w:b/>
          <w:color w:val="auto"/>
          <w:sz w:val="24"/>
          <w:szCs w:val="24"/>
          <w:highlight w:val="none"/>
        </w:rPr>
        <w:t xml:space="preserve">19. </w:t>
      </w:r>
      <w:r>
        <w:rPr>
          <w:rFonts w:hint="eastAsia" w:hAnsi="宋体"/>
          <w:b/>
          <w:color w:val="auto"/>
          <w:sz w:val="24"/>
          <w:szCs w:val="24"/>
          <w:highlight w:val="none"/>
        </w:rPr>
        <w:t>迟交的磋商响应文件</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采购人将拒绝接收任何迟于《供应商须知前附表》中规定的截止时间递交的磋商响应文件。</w:t>
      </w:r>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20. </w:t>
      </w:r>
      <w:r>
        <w:rPr>
          <w:rFonts w:hint="eastAsia" w:hAnsi="宋体"/>
          <w:b/>
          <w:color w:val="auto"/>
          <w:sz w:val="24"/>
          <w:szCs w:val="24"/>
          <w:highlight w:val="none"/>
        </w:rPr>
        <w:t>磋商响应文件的修改和撤回</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20.1 </w:t>
      </w:r>
      <w:r>
        <w:rPr>
          <w:rFonts w:hint="eastAsia" w:hAnsi="宋体"/>
          <w:color w:val="auto"/>
          <w:sz w:val="24"/>
          <w:szCs w:val="24"/>
          <w:highlight w:val="none"/>
        </w:rPr>
        <w:t>供应商在提交磋商响应文件后可对其磋商文件进行修改或撤回，但采购人须在提交提交磋商响应文件截止之日前收到该修改或撤回的书面通知。</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20.2 </w:t>
      </w:r>
      <w:r>
        <w:rPr>
          <w:rFonts w:hint="eastAsia" w:hAnsi="宋体"/>
          <w:color w:val="auto"/>
          <w:sz w:val="24"/>
          <w:szCs w:val="24"/>
          <w:highlight w:val="none"/>
        </w:rPr>
        <w:t>供应商对磋商响应文件的修改或撤回的通知应按</w:t>
      </w:r>
      <w:r>
        <w:rPr>
          <w:color w:val="auto"/>
          <w:sz w:val="24"/>
          <w:szCs w:val="24"/>
          <w:highlight w:val="none"/>
        </w:rPr>
        <w:fldChar w:fldCharType="begin"/>
      </w:r>
      <w:r>
        <w:rPr>
          <w:color w:val="auto"/>
          <w:sz w:val="24"/>
          <w:szCs w:val="24"/>
          <w:highlight w:val="none"/>
        </w:rPr>
        <w:instrText xml:space="preserve"> HYPERLINK \l "_投标文件的编制" \o "投标文件的式样和签署" </w:instrText>
      </w:r>
      <w:r>
        <w:rPr>
          <w:color w:val="auto"/>
          <w:sz w:val="24"/>
          <w:szCs w:val="24"/>
          <w:highlight w:val="none"/>
        </w:rPr>
        <w:fldChar w:fldCharType="separate"/>
      </w:r>
      <w:r>
        <w:rPr>
          <w:rFonts w:hint="eastAsia" w:hAnsi="宋体"/>
          <w:color w:val="auto"/>
          <w:sz w:val="24"/>
          <w:szCs w:val="24"/>
          <w:highlight w:val="none"/>
        </w:rPr>
        <w:t>第</w:t>
      </w:r>
      <w:r>
        <w:rPr>
          <w:rFonts w:hAnsi="宋体"/>
          <w:color w:val="auto"/>
          <w:sz w:val="24"/>
          <w:szCs w:val="24"/>
          <w:highlight w:val="none"/>
        </w:rPr>
        <w:t>17</w:t>
      </w:r>
      <w:r>
        <w:rPr>
          <w:rFonts w:hint="eastAsia" w:hAnsi="宋体"/>
          <w:color w:val="auto"/>
          <w:sz w:val="24"/>
          <w:szCs w:val="24"/>
          <w:highlight w:val="none"/>
        </w:rPr>
        <w:t>款</w:t>
      </w:r>
      <w:r>
        <w:rPr>
          <w:rFonts w:hint="eastAsia" w:hAnsi="宋体"/>
          <w:color w:val="auto"/>
          <w:sz w:val="24"/>
          <w:szCs w:val="24"/>
          <w:highlight w:val="none"/>
        </w:rPr>
        <w:fldChar w:fldCharType="end"/>
      </w:r>
      <w:r>
        <w:rPr>
          <w:rFonts w:hint="eastAsia" w:hAnsi="宋体"/>
          <w:color w:val="auto"/>
          <w:sz w:val="24"/>
          <w:szCs w:val="24"/>
          <w:highlight w:val="none"/>
        </w:rPr>
        <w:t>和</w:t>
      </w:r>
      <w:r>
        <w:rPr>
          <w:color w:val="auto"/>
          <w:sz w:val="24"/>
          <w:szCs w:val="24"/>
          <w:highlight w:val="none"/>
        </w:rPr>
        <w:fldChar w:fldCharType="begin"/>
      </w:r>
      <w:r>
        <w:rPr>
          <w:color w:val="auto"/>
          <w:sz w:val="24"/>
          <w:szCs w:val="24"/>
          <w:highlight w:val="none"/>
        </w:rPr>
        <w:instrText xml:space="preserve"> HYPERLINK \l "_投标文件的编制" \o "投标文件的密封和标记" </w:instrText>
      </w:r>
      <w:r>
        <w:rPr>
          <w:color w:val="auto"/>
          <w:sz w:val="24"/>
          <w:szCs w:val="24"/>
          <w:highlight w:val="none"/>
        </w:rPr>
        <w:fldChar w:fldCharType="separate"/>
      </w:r>
      <w:r>
        <w:rPr>
          <w:rFonts w:hint="eastAsia" w:hAnsi="宋体"/>
          <w:color w:val="auto"/>
          <w:sz w:val="24"/>
          <w:szCs w:val="24"/>
          <w:highlight w:val="none"/>
        </w:rPr>
        <w:t>第</w:t>
      </w:r>
      <w:r>
        <w:rPr>
          <w:rFonts w:hAnsi="宋体"/>
          <w:color w:val="auto"/>
          <w:sz w:val="24"/>
          <w:szCs w:val="24"/>
          <w:highlight w:val="none"/>
        </w:rPr>
        <w:t>18</w:t>
      </w:r>
      <w:r>
        <w:rPr>
          <w:rFonts w:hint="eastAsia" w:hAnsi="宋体"/>
          <w:color w:val="auto"/>
          <w:sz w:val="24"/>
          <w:szCs w:val="24"/>
          <w:highlight w:val="none"/>
        </w:rPr>
        <w:t>款</w:t>
      </w:r>
      <w:r>
        <w:rPr>
          <w:rFonts w:hint="eastAsia" w:hAnsi="宋体"/>
          <w:color w:val="auto"/>
          <w:sz w:val="24"/>
          <w:szCs w:val="24"/>
          <w:highlight w:val="none"/>
        </w:rPr>
        <w:fldChar w:fldCharType="end"/>
      </w:r>
      <w:r>
        <w:rPr>
          <w:rFonts w:hint="eastAsia" w:hAnsi="宋体"/>
          <w:color w:val="auto"/>
          <w:sz w:val="24"/>
          <w:szCs w:val="24"/>
          <w:highlight w:val="none"/>
        </w:rPr>
        <w:t>规定进行准备、密封、标注和递送。</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20.3 </w:t>
      </w:r>
      <w:r>
        <w:rPr>
          <w:rFonts w:hint="eastAsia" w:hAnsi="宋体"/>
          <w:color w:val="auto"/>
          <w:sz w:val="24"/>
          <w:szCs w:val="24"/>
          <w:highlight w:val="none"/>
        </w:rPr>
        <w:t>磋商响应文件递交截止时间后不得修改磋商响应文件。</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20.4 </w:t>
      </w:r>
      <w:r>
        <w:rPr>
          <w:rFonts w:hint="eastAsia" w:hAnsi="宋体"/>
          <w:color w:val="auto"/>
          <w:sz w:val="24"/>
          <w:szCs w:val="24"/>
          <w:highlight w:val="none"/>
        </w:rPr>
        <w:t>供应商不得在磋商响应文件递交截止日起至</w:t>
      </w:r>
      <w:r>
        <w:rPr>
          <w:color w:val="auto"/>
          <w:sz w:val="24"/>
          <w:szCs w:val="24"/>
          <w:highlight w:val="none"/>
        </w:rPr>
        <w:fldChar w:fldCharType="begin"/>
      </w:r>
      <w:r>
        <w:rPr>
          <w:color w:val="auto"/>
          <w:sz w:val="24"/>
          <w:szCs w:val="24"/>
          <w:highlight w:val="none"/>
        </w:rPr>
        <w:instrText xml:space="preserve"> HYPERLINK \l "_投标文件的编制" \o "投标有效期" </w:instrText>
      </w:r>
      <w:r>
        <w:rPr>
          <w:color w:val="auto"/>
          <w:sz w:val="24"/>
          <w:szCs w:val="24"/>
          <w:highlight w:val="none"/>
        </w:rPr>
        <w:fldChar w:fldCharType="separate"/>
      </w:r>
      <w:r>
        <w:rPr>
          <w:rFonts w:hint="eastAsia" w:hAnsi="宋体"/>
          <w:color w:val="auto"/>
          <w:sz w:val="24"/>
          <w:szCs w:val="24"/>
          <w:highlight w:val="none"/>
        </w:rPr>
        <w:t>第</w:t>
      </w:r>
      <w:r>
        <w:rPr>
          <w:rFonts w:hAnsi="宋体"/>
          <w:color w:val="auto"/>
          <w:sz w:val="24"/>
          <w:szCs w:val="24"/>
          <w:highlight w:val="none"/>
        </w:rPr>
        <w:t>15</w:t>
      </w:r>
      <w:r>
        <w:rPr>
          <w:rFonts w:hint="eastAsia" w:hAnsi="宋体"/>
          <w:color w:val="auto"/>
          <w:sz w:val="24"/>
          <w:szCs w:val="24"/>
          <w:highlight w:val="none"/>
        </w:rPr>
        <w:t>条</w:t>
      </w:r>
      <w:r>
        <w:rPr>
          <w:rFonts w:hint="eastAsia" w:hAnsi="宋体"/>
          <w:color w:val="auto"/>
          <w:sz w:val="24"/>
          <w:szCs w:val="24"/>
          <w:highlight w:val="none"/>
        </w:rPr>
        <w:fldChar w:fldCharType="end"/>
      </w:r>
      <w:r>
        <w:rPr>
          <w:rFonts w:hint="eastAsia" w:hAnsi="宋体"/>
          <w:color w:val="auto"/>
          <w:sz w:val="24"/>
          <w:szCs w:val="24"/>
          <w:highlight w:val="none"/>
        </w:rPr>
        <w:t>规定的磋商响应文件有效期期满前撤销磋商响应文件。</w:t>
      </w:r>
    </w:p>
    <w:p>
      <w:pPr>
        <w:pStyle w:val="4"/>
        <w:spacing w:before="0" w:after="0" w:line="360" w:lineRule="auto"/>
        <w:rPr>
          <w:rFonts w:ascii="宋体" w:hAnsi="宋体" w:eastAsia="宋体"/>
          <w:bCs/>
          <w:color w:val="auto"/>
          <w:sz w:val="24"/>
          <w:szCs w:val="24"/>
          <w:highlight w:val="none"/>
        </w:rPr>
      </w:pPr>
      <w:bookmarkStart w:id="52" w:name="_开标与评标（细则参见财政部《_政府采购招标投标管理暂行办法_》及中华人民共和国"/>
      <w:bookmarkEnd w:id="52"/>
      <w:bookmarkStart w:id="53" w:name="_Toc495679403"/>
      <w:r>
        <w:rPr>
          <w:rFonts w:hint="eastAsia" w:ascii="宋体" w:hAnsi="宋体" w:eastAsia="宋体"/>
          <w:color w:val="auto"/>
          <w:sz w:val="24"/>
          <w:szCs w:val="24"/>
          <w:highlight w:val="none"/>
        </w:rPr>
        <w:t>五、开标与评审</w:t>
      </w:r>
      <w:bookmarkEnd w:id="53"/>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21. </w:t>
      </w:r>
      <w:r>
        <w:rPr>
          <w:rFonts w:hint="eastAsia" w:hAnsi="宋体"/>
          <w:b/>
          <w:color w:val="auto"/>
          <w:sz w:val="24"/>
          <w:szCs w:val="24"/>
          <w:highlight w:val="none"/>
        </w:rPr>
        <w:t>开标</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21.1</w:t>
      </w:r>
      <w:r>
        <w:rPr>
          <w:rFonts w:hint="eastAsia" w:hAnsi="宋体"/>
          <w:b/>
          <w:color w:val="auto"/>
          <w:sz w:val="24"/>
          <w:highlight w:val="none"/>
          <w:u w:val="single"/>
        </w:rPr>
        <w:t>供应商应委派授权代表参加开标活动，参加开标的代表须持本人身份证件签名报到以证明其出席</w:t>
      </w:r>
      <w:r>
        <w:rPr>
          <w:rFonts w:hint="eastAsia" w:hAnsi="宋体"/>
          <w:color w:val="auto"/>
          <w:sz w:val="24"/>
          <w:highlight w:val="none"/>
        </w:rPr>
        <w:t>。未派授权代表或不能证明其授权代表身份的，采购人、招标代理机构对报价文件的处理不承担责任。</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21.2 </w:t>
      </w:r>
      <w:r>
        <w:rPr>
          <w:rFonts w:hint="eastAsia" w:hAnsi="宋体"/>
          <w:color w:val="auto"/>
          <w:sz w:val="24"/>
          <w:szCs w:val="24"/>
          <w:highlight w:val="none"/>
        </w:rPr>
        <w:t>按照第</w:t>
      </w:r>
      <w:r>
        <w:rPr>
          <w:rFonts w:hAnsi="宋体"/>
          <w:color w:val="auto"/>
          <w:sz w:val="24"/>
          <w:szCs w:val="24"/>
          <w:highlight w:val="none"/>
        </w:rPr>
        <w:t>20</w:t>
      </w:r>
      <w:r>
        <w:rPr>
          <w:rFonts w:hint="eastAsia" w:hAnsi="宋体"/>
          <w:color w:val="auto"/>
          <w:sz w:val="24"/>
          <w:szCs w:val="24"/>
          <w:highlight w:val="none"/>
        </w:rPr>
        <w:t>条规定，提交了可接受的“撤回”通知的磋商文件将不予开封。</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21.3 </w:t>
      </w:r>
      <w:r>
        <w:rPr>
          <w:rFonts w:hint="eastAsia" w:hAnsi="宋体"/>
          <w:color w:val="auto"/>
          <w:sz w:val="24"/>
          <w:szCs w:val="24"/>
          <w:highlight w:val="none"/>
        </w:rPr>
        <w:t>开标时，</w:t>
      </w:r>
      <w:r>
        <w:rPr>
          <w:rFonts w:hint="eastAsia" w:hAnsi="宋体"/>
          <w:color w:val="auto"/>
          <w:sz w:val="24"/>
          <w:highlight w:val="none"/>
        </w:rPr>
        <w:t>纪检监督人员或投标人代表将查验报价文件密封情况，确认无误后由磋商小组对磋商响应文件进行评审。采购人、采购代理机构将采取必要措施，保证评审在严格保密的情况下进行。</w:t>
      </w:r>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22. </w:t>
      </w:r>
      <w:r>
        <w:rPr>
          <w:rFonts w:hint="eastAsia" w:hAnsi="宋体"/>
          <w:b/>
          <w:color w:val="auto"/>
          <w:sz w:val="24"/>
          <w:szCs w:val="24"/>
          <w:highlight w:val="none"/>
        </w:rPr>
        <w:t>磋商响应文件的初审</w:t>
      </w:r>
    </w:p>
    <w:p>
      <w:pPr>
        <w:spacing w:line="360" w:lineRule="auto"/>
        <w:ind w:left="480" w:hanging="480" w:hangingChars="200"/>
        <w:rPr>
          <w:rFonts w:hAnsi="宋体"/>
          <w:color w:val="auto"/>
          <w:sz w:val="24"/>
          <w:szCs w:val="24"/>
          <w:highlight w:val="none"/>
        </w:rPr>
      </w:pPr>
      <w:r>
        <w:rPr>
          <w:rFonts w:hAnsi="宋体" w:cs="宋体"/>
          <w:color w:val="auto"/>
          <w:sz w:val="24"/>
          <w:szCs w:val="24"/>
          <w:highlight w:val="none"/>
        </w:rPr>
        <w:t xml:space="preserve">22.1 </w:t>
      </w:r>
      <w:r>
        <w:rPr>
          <w:rFonts w:hint="eastAsia" w:hAnsi="宋体" w:cs="宋体"/>
          <w:color w:val="auto"/>
          <w:sz w:val="24"/>
          <w:szCs w:val="24"/>
          <w:highlight w:val="none"/>
        </w:rPr>
        <w:t>采购人、磋商小组根据“初步评审表”对磋商响应文件的资格性和符合性进行评审，只有对“初步评审表”所列各项作出实质性响应的磋商文件才能通过初步评审。对是否实质性响应磋商文件的要求有争议的投标内容，磋商小组将以记名方式表决，得票超过半数的供应商有资格进入下一阶段的评审，否则将被淘汰。具体工作包括：</w:t>
      </w:r>
    </w:p>
    <w:p>
      <w:pPr>
        <w:spacing w:line="360" w:lineRule="auto"/>
        <w:ind w:left="820" w:leftChars="100" w:hanging="480" w:hanging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 xml:space="preserve"> </w:t>
      </w:r>
      <w:r>
        <w:rPr>
          <w:rFonts w:hint="eastAsia" w:hAnsi="宋体"/>
          <w:color w:val="auto"/>
          <w:sz w:val="24"/>
          <w:szCs w:val="24"/>
          <w:highlight w:val="none"/>
        </w:rPr>
        <w:t>磋商小组将审查磋商文件是否完整、是否恰当地签署、是否大致编排有序等；</w:t>
      </w:r>
    </w:p>
    <w:p>
      <w:pPr>
        <w:spacing w:line="360" w:lineRule="auto"/>
        <w:ind w:left="820" w:leftChars="100" w:hanging="480" w:hanging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对磋商响应文件进行详细评审之前，磋商小组将确定每一磋商文件是否对磋商文件的要求作出了实质性的响应。所谓作出实质性响应的投标指的是符合磋商文件要求的全部条款、条件和规格而无任何重大偏离或保留。重大偏离或保留系指实质上影响到合同项下的供货范围、质量和性能，或指与磋商文件有实质不一致，限制了合同项下采购人的权利和供应商的义务</w:t>
      </w:r>
      <w:r>
        <w:rPr>
          <w:rFonts w:hAnsi="宋体"/>
          <w:color w:val="auto"/>
          <w:sz w:val="24"/>
          <w:szCs w:val="24"/>
          <w:highlight w:val="none"/>
        </w:rPr>
        <w:t xml:space="preserve">, </w:t>
      </w:r>
      <w:r>
        <w:rPr>
          <w:rFonts w:hint="eastAsia" w:hAnsi="宋体"/>
          <w:color w:val="auto"/>
          <w:sz w:val="24"/>
          <w:szCs w:val="24"/>
          <w:highlight w:val="none"/>
        </w:rPr>
        <w:t>或对该重大偏离的修改对提交实质性响应投标的供应商将不公平。磋商小组决定磋商文件的响应性是基于磋商文件的内容本身而不靠外部的证据。</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22.2 </w:t>
      </w:r>
      <w:r>
        <w:rPr>
          <w:rFonts w:hint="eastAsia" w:hAnsi="宋体"/>
          <w:color w:val="auto"/>
          <w:sz w:val="24"/>
          <w:szCs w:val="24"/>
          <w:highlight w:val="none"/>
        </w:rPr>
        <w:t>磋商小组将拒绝被定为非响应性的投标，供应商不能通过修正或撤销不符之处而使其投标成为响应性投标。</w:t>
      </w:r>
    </w:p>
    <w:p>
      <w:pPr>
        <w:spacing w:line="360" w:lineRule="auto"/>
        <w:ind w:left="822" w:leftChars="100" w:hanging="482" w:hangingChars="200"/>
        <w:rPr>
          <w:rFonts w:hAnsi="宋体"/>
          <w:b/>
          <w:color w:val="auto"/>
          <w:sz w:val="24"/>
          <w:szCs w:val="24"/>
          <w:highlight w:val="none"/>
        </w:rPr>
      </w:pPr>
      <w:r>
        <w:rPr>
          <w:rFonts w:hint="eastAsia" w:hAnsi="宋体"/>
          <w:b/>
          <w:color w:val="auto"/>
          <w:sz w:val="24"/>
          <w:szCs w:val="24"/>
          <w:highlight w:val="none"/>
        </w:rPr>
        <w:t>在采购</w:t>
      </w:r>
      <w:r>
        <w:rPr>
          <w:rFonts w:hint="eastAsia" w:hAnsi="宋体"/>
          <w:b/>
          <w:color w:val="auto"/>
          <w:sz w:val="24"/>
          <w:szCs w:val="24"/>
          <w:highlight w:val="none"/>
          <w:lang w:val="en-US" w:eastAsia="zh-CN"/>
        </w:rPr>
        <w:t>活动</w:t>
      </w:r>
      <w:r>
        <w:rPr>
          <w:rFonts w:hint="eastAsia" w:hAnsi="宋体"/>
          <w:b/>
          <w:color w:val="auto"/>
          <w:sz w:val="24"/>
          <w:szCs w:val="24"/>
          <w:highlight w:val="none"/>
        </w:rPr>
        <w:t>中，出现下列情形之一的，应予废标：</w:t>
      </w:r>
      <w:r>
        <w:rPr>
          <w:rFonts w:hAnsi="宋体"/>
          <w:b/>
          <w:color w:val="auto"/>
          <w:sz w:val="24"/>
          <w:szCs w:val="24"/>
          <w:highlight w:val="none"/>
        </w:rPr>
        <w:t xml:space="preserve"> </w:t>
      </w:r>
    </w:p>
    <w:p>
      <w:pPr>
        <w:spacing w:line="360" w:lineRule="auto"/>
        <w:ind w:left="1160" w:leftChars="200" w:hanging="480" w:hangingChars="200"/>
        <w:rPr>
          <w:rFonts w:hAnsi="宋体"/>
          <w:color w:val="auto"/>
          <w:sz w:val="24"/>
          <w:szCs w:val="24"/>
          <w:highlight w:val="none"/>
        </w:rPr>
      </w:pPr>
      <w:r>
        <w:rPr>
          <w:rFonts w:hint="eastAsia" w:hAnsi="宋体"/>
          <w:color w:val="auto"/>
          <w:sz w:val="24"/>
          <w:szCs w:val="24"/>
          <w:highlight w:val="none"/>
        </w:rPr>
        <w:t>（一）符合专业条件的供应商或者对磋商文件作实质响应的供应商不足三家的；</w:t>
      </w:r>
      <w:r>
        <w:rPr>
          <w:rFonts w:hAnsi="宋体"/>
          <w:color w:val="auto"/>
          <w:sz w:val="24"/>
          <w:szCs w:val="24"/>
          <w:highlight w:val="none"/>
        </w:rPr>
        <w:t xml:space="preserve"> </w:t>
      </w:r>
    </w:p>
    <w:p>
      <w:pPr>
        <w:spacing w:line="360" w:lineRule="auto"/>
        <w:ind w:left="1160" w:leftChars="200" w:hanging="480" w:hangingChars="200"/>
        <w:rPr>
          <w:rFonts w:hAnsi="宋体"/>
          <w:color w:val="auto"/>
          <w:sz w:val="24"/>
          <w:szCs w:val="24"/>
          <w:highlight w:val="none"/>
        </w:rPr>
      </w:pPr>
      <w:r>
        <w:rPr>
          <w:rFonts w:hint="eastAsia" w:hAnsi="宋体"/>
          <w:color w:val="auto"/>
          <w:sz w:val="24"/>
          <w:szCs w:val="24"/>
          <w:highlight w:val="none"/>
        </w:rPr>
        <w:t>（二）出现影响采购公正的违法、违规行为的；</w:t>
      </w:r>
      <w:r>
        <w:rPr>
          <w:rFonts w:hAnsi="宋体"/>
          <w:color w:val="auto"/>
          <w:sz w:val="24"/>
          <w:szCs w:val="24"/>
          <w:highlight w:val="none"/>
        </w:rPr>
        <w:t xml:space="preserve"> </w:t>
      </w:r>
    </w:p>
    <w:p>
      <w:pPr>
        <w:spacing w:line="360" w:lineRule="auto"/>
        <w:ind w:left="1160" w:leftChars="200" w:hanging="480" w:hangingChars="200"/>
        <w:rPr>
          <w:rFonts w:hAnsi="宋体"/>
          <w:color w:val="auto"/>
          <w:sz w:val="24"/>
          <w:szCs w:val="24"/>
          <w:highlight w:val="none"/>
        </w:rPr>
      </w:pPr>
      <w:r>
        <w:rPr>
          <w:rFonts w:hint="eastAsia" w:hAnsi="宋体"/>
          <w:color w:val="auto"/>
          <w:sz w:val="24"/>
          <w:szCs w:val="24"/>
          <w:highlight w:val="none"/>
        </w:rPr>
        <w:t>（三）供应商的报价均超过了采购预算，采购人不能支付的；</w:t>
      </w:r>
      <w:r>
        <w:rPr>
          <w:rFonts w:hAnsi="宋体"/>
          <w:color w:val="auto"/>
          <w:sz w:val="24"/>
          <w:szCs w:val="24"/>
          <w:highlight w:val="none"/>
        </w:rPr>
        <w:t xml:space="preserve"> </w:t>
      </w:r>
    </w:p>
    <w:p>
      <w:pPr>
        <w:spacing w:line="360" w:lineRule="auto"/>
        <w:ind w:left="1160" w:leftChars="200" w:hanging="480" w:hangingChars="200"/>
        <w:rPr>
          <w:rFonts w:hAnsi="宋体"/>
          <w:color w:val="auto"/>
          <w:sz w:val="24"/>
          <w:szCs w:val="24"/>
          <w:highlight w:val="none"/>
        </w:rPr>
      </w:pPr>
      <w:r>
        <w:rPr>
          <w:rFonts w:hint="eastAsia" w:hAnsi="宋体"/>
          <w:color w:val="auto"/>
          <w:sz w:val="24"/>
          <w:szCs w:val="24"/>
          <w:highlight w:val="none"/>
        </w:rPr>
        <w:t>（四）因重大变故，采购任务取消的。</w:t>
      </w:r>
      <w:r>
        <w:rPr>
          <w:rFonts w:hAnsi="宋体"/>
          <w:color w:val="auto"/>
          <w:sz w:val="24"/>
          <w:szCs w:val="24"/>
          <w:highlight w:val="none"/>
        </w:rPr>
        <w:t xml:space="preserve"> </w:t>
      </w:r>
    </w:p>
    <w:p>
      <w:pPr>
        <w:spacing w:line="360" w:lineRule="auto"/>
        <w:ind w:left="820" w:leftChars="100" w:hanging="480" w:hangingChars="200"/>
        <w:rPr>
          <w:rFonts w:hAnsi="宋体"/>
          <w:color w:val="auto"/>
          <w:sz w:val="24"/>
          <w:szCs w:val="24"/>
          <w:highlight w:val="none"/>
        </w:rPr>
      </w:pPr>
      <w:r>
        <w:rPr>
          <w:rFonts w:hint="eastAsia" w:hAnsi="宋体"/>
          <w:color w:val="auto"/>
          <w:sz w:val="24"/>
          <w:szCs w:val="24"/>
          <w:highlight w:val="none"/>
        </w:rPr>
        <w:t>废标后，采购人或采购代理机构应当将废标理由通知所有供应商。</w:t>
      </w:r>
      <w:r>
        <w:rPr>
          <w:rFonts w:hAnsi="宋体"/>
          <w:color w:val="auto"/>
          <w:sz w:val="24"/>
          <w:szCs w:val="24"/>
          <w:highlight w:val="none"/>
        </w:rPr>
        <w:t xml:space="preserve"> </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22.3 </w:t>
      </w:r>
      <w:r>
        <w:rPr>
          <w:rFonts w:hint="eastAsia" w:hAnsi="宋体"/>
          <w:color w:val="auto"/>
          <w:sz w:val="24"/>
          <w:szCs w:val="24"/>
          <w:highlight w:val="none"/>
        </w:rPr>
        <w:t>磋商小组将对确定为实质上响应的投标进行审核，看其是否有计算上和累加上的算术错误，修正错误的原则如下：</w:t>
      </w:r>
    </w:p>
    <w:p>
      <w:pPr>
        <w:spacing w:line="360" w:lineRule="auto"/>
        <w:ind w:left="820" w:leftChars="100" w:hanging="480" w:hanging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 xml:space="preserve"> </w:t>
      </w:r>
      <w:r>
        <w:rPr>
          <w:rFonts w:hint="eastAsia" w:hAnsi="宋体"/>
          <w:color w:val="auto"/>
          <w:sz w:val="24"/>
          <w:szCs w:val="24"/>
          <w:highlight w:val="none"/>
        </w:rPr>
        <w:t>磋商响应文件中开标一览表</w:t>
      </w:r>
      <w:r>
        <w:rPr>
          <w:rFonts w:hAnsi="宋体"/>
          <w:color w:val="auto"/>
          <w:sz w:val="24"/>
          <w:szCs w:val="24"/>
          <w:highlight w:val="none"/>
        </w:rPr>
        <w:t>(</w:t>
      </w:r>
      <w:r>
        <w:rPr>
          <w:rFonts w:hint="eastAsia" w:hAnsi="宋体"/>
          <w:color w:val="auto"/>
          <w:sz w:val="24"/>
          <w:szCs w:val="24"/>
          <w:highlight w:val="none"/>
        </w:rPr>
        <w:t>报价表</w:t>
      </w:r>
      <w:r>
        <w:rPr>
          <w:rFonts w:hAnsi="宋体"/>
          <w:color w:val="auto"/>
          <w:sz w:val="24"/>
          <w:szCs w:val="24"/>
          <w:highlight w:val="none"/>
        </w:rPr>
        <w:t>)</w:t>
      </w:r>
      <w:r>
        <w:rPr>
          <w:rFonts w:hint="eastAsia" w:hAnsi="宋体"/>
          <w:color w:val="auto"/>
          <w:sz w:val="24"/>
          <w:szCs w:val="24"/>
          <w:highlight w:val="none"/>
        </w:rPr>
        <w:t>内容与磋商响应文件中明细表内容不一致的，以开标一览表</w:t>
      </w:r>
      <w:r>
        <w:rPr>
          <w:rFonts w:hAnsi="宋体"/>
          <w:color w:val="auto"/>
          <w:sz w:val="24"/>
          <w:szCs w:val="24"/>
          <w:highlight w:val="none"/>
        </w:rPr>
        <w:t>(</w:t>
      </w:r>
      <w:r>
        <w:rPr>
          <w:rFonts w:hint="eastAsia" w:hAnsi="宋体"/>
          <w:color w:val="auto"/>
          <w:sz w:val="24"/>
          <w:szCs w:val="24"/>
          <w:highlight w:val="none"/>
        </w:rPr>
        <w:t>报价表</w:t>
      </w:r>
      <w:r>
        <w:rPr>
          <w:rFonts w:hAnsi="宋体"/>
          <w:color w:val="auto"/>
          <w:sz w:val="24"/>
          <w:szCs w:val="24"/>
          <w:highlight w:val="none"/>
        </w:rPr>
        <w:t>)</w:t>
      </w:r>
      <w:r>
        <w:rPr>
          <w:rFonts w:hint="eastAsia" w:hAnsi="宋体"/>
          <w:color w:val="auto"/>
          <w:sz w:val="24"/>
          <w:szCs w:val="24"/>
          <w:highlight w:val="none"/>
        </w:rPr>
        <w:t>为准；</w:t>
      </w:r>
    </w:p>
    <w:p>
      <w:pPr>
        <w:spacing w:line="360" w:lineRule="auto"/>
        <w:ind w:left="820" w:leftChars="100" w:hanging="480" w:hanging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w:t>
      </w:r>
      <w:r>
        <w:rPr>
          <w:rFonts w:hAnsi="宋体"/>
          <w:color w:val="auto"/>
          <w:sz w:val="24"/>
          <w:szCs w:val="24"/>
          <w:highlight w:val="none"/>
        </w:rPr>
        <w:t xml:space="preserve"> </w:t>
      </w:r>
      <w:r>
        <w:rPr>
          <w:rFonts w:hint="eastAsia" w:hAnsi="宋体"/>
          <w:color w:val="auto"/>
          <w:sz w:val="24"/>
          <w:szCs w:val="24"/>
          <w:highlight w:val="none"/>
        </w:rPr>
        <w:t>磋商文件的大写金额和小写金额不一致的，以大写金额为准；</w:t>
      </w:r>
      <w:r>
        <w:rPr>
          <w:rFonts w:hAnsi="宋体"/>
          <w:color w:val="auto"/>
          <w:sz w:val="24"/>
          <w:szCs w:val="24"/>
          <w:highlight w:val="none"/>
        </w:rPr>
        <w:t xml:space="preserve"> </w:t>
      </w:r>
    </w:p>
    <w:p>
      <w:pPr>
        <w:spacing w:line="360" w:lineRule="auto"/>
        <w:ind w:left="820" w:leftChars="100" w:hanging="480" w:hanging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Ansi="宋体"/>
          <w:color w:val="auto"/>
          <w:sz w:val="24"/>
          <w:szCs w:val="24"/>
          <w:highlight w:val="none"/>
        </w:rPr>
        <w:t xml:space="preserve"> </w:t>
      </w:r>
      <w:r>
        <w:rPr>
          <w:rFonts w:hint="eastAsia" w:hAnsi="宋体"/>
          <w:color w:val="auto"/>
          <w:sz w:val="24"/>
          <w:szCs w:val="24"/>
          <w:highlight w:val="none"/>
        </w:rPr>
        <w:t>总价金额与按单价汇总金额不一致的，以单价金额计算结果为准；单价金额小数点有明显错位的，应以总价为准，并修改单价；</w:t>
      </w:r>
    </w:p>
    <w:p>
      <w:pPr>
        <w:spacing w:line="360" w:lineRule="auto"/>
        <w:ind w:left="820" w:leftChars="100" w:hanging="480" w:hanging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 xml:space="preserve"> </w:t>
      </w:r>
      <w:r>
        <w:rPr>
          <w:rFonts w:hint="eastAsia" w:hAnsi="宋体"/>
          <w:color w:val="auto"/>
          <w:sz w:val="24"/>
          <w:szCs w:val="24"/>
          <w:highlight w:val="none"/>
        </w:rPr>
        <w:t>对不同文字文本磋商文件的解释发生异议的，以中文文本为准。</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22.4 </w:t>
      </w:r>
      <w:r>
        <w:rPr>
          <w:rFonts w:hint="eastAsia" w:hAnsi="宋体"/>
          <w:color w:val="auto"/>
          <w:sz w:val="24"/>
          <w:szCs w:val="24"/>
          <w:highlight w:val="none"/>
        </w:rPr>
        <w:t>磋商小组将按上述修正错误的方法调整磋商文件中的磋商报价，调整后的价格应对供应商具有约束力。如果供应商不接受修正后的价格，则其投标将被拒绝。</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22.5 </w:t>
      </w:r>
      <w:r>
        <w:rPr>
          <w:rFonts w:hint="eastAsia" w:hAnsi="宋体"/>
          <w:color w:val="auto"/>
          <w:sz w:val="24"/>
          <w:szCs w:val="24"/>
          <w:highlight w:val="none"/>
        </w:rPr>
        <w:t>对供应商报价经过上述修正和调整（包括缺漏项调整）后所得出的价格构成其“评标价”。</w:t>
      </w:r>
      <w:r>
        <w:rPr>
          <w:rFonts w:hAnsi="宋体"/>
          <w:color w:val="auto"/>
          <w:sz w:val="24"/>
          <w:szCs w:val="24"/>
          <w:highlight w:val="none"/>
        </w:rPr>
        <w:t xml:space="preserve"> </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22.6 </w:t>
      </w:r>
      <w:r>
        <w:rPr>
          <w:rFonts w:hint="eastAsia" w:hAnsi="宋体"/>
          <w:color w:val="auto"/>
          <w:sz w:val="24"/>
          <w:szCs w:val="24"/>
          <w:highlight w:val="none"/>
        </w:rPr>
        <w:t>磋商小组将允许修正磋商文件中不构成重大偏离的、微小的、非正规的、不一致的或不规则的地方，但这些修正不能影响任何供应商相应的名次排列。</w:t>
      </w:r>
    </w:p>
    <w:p>
      <w:pPr>
        <w:spacing w:line="360" w:lineRule="auto"/>
        <w:rPr>
          <w:rFonts w:hAnsi="宋体"/>
          <w:color w:val="auto"/>
          <w:sz w:val="24"/>
          <w:szCs w:val="24"/>
          <w:highlight w:val="none"/>
        </w:rPr>
      </w:pPr>
      <w:r>
        <w:rPr>
          <w:rFonts w:hAnsi="宋体"/>
          <w:color w:val="auto"/>
          <w:sz w:val="24"/>
          <w:szCs w:val="24"/>
          <w:highlight w:val="none"/>
        </w:rPr>
        <w:t xml:space="preserve">22.7 </w:t>
      </w:r>
      <w:r>
        <w:rPr>
          <w:rFonts w:hint="eastAsia" w:hAnsi="宋体"/>
          <w:color w:val="auto"/>
          <w:sz w:val="24"/>
          <w:szCs w:val="24"/>
          <w:highlight w:val="none"/>
        </w:rPr>
        <w:t>本项目非专门面向中小企业的项目，对小型和微型企业产品的价格给予</w:t>
      </w:r>
      <w:r>
        <w:rPr>
          <w:rFonts w:hint="eastAsia" w:hAnsi="宋体"/>
          <w:color w:val="auto"/>
          <w:sz w:val="24"/>
          <w:szCs w:val="24"/>
          <w:highlight w:val="none"/>
          <w:lang w:val="en-US" w:eastAsia="zh-CN"/>
        </w:rPr>
        <w:t>10</w:t>
      </w:r>
      <w:r>
        <w:rPr>
          <w:rFonts w:hAnsi="宋体"/>
          <w:color w:val="auto"/>
          <w:sz w:val="24"/>
          <w:szCs w:val="24"/>
          <w:highlight w:val="none"/>
        </w:rPr>
        <w:t>%</w:t>
      </w:r>
      <w:r>
        <w:rPr>
          <w:rFonts w:hint="eastAsia" w:hAnsi="宋体"/>
          <w:color w:val="auto"/>
          <w:sz w:val="24"/>
          <w:szCs w:val="24"/>
          <w:highlight w:val="none"/>
        </w:rPr>
        <w:t>的扣除，用扣除后的价格参与评审。</w:t>
      </w:r>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23. </w:t>
      </w:r>
      <w:r>
        <w:rPr>
          <w:rFonts w:hint="eastAsia" w:hAnsi="宋体"/>
          <w:b/>
          <w:color w:val="auto"/>
          <w:sz w:val="24"/>
          <w:szCs w:val="24"/>
          <w:highlight w:val="none"/>
        </w:rPr>
        <w:t>磋商响应文件的澄清</w:t>
      </w:r>
    </w:p>
    <w:p>
      <w:pPr>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对磋商响应文件中含义不明确、同类问题表述不一致或者有明显文字和计算错误的内容，磋商小组可以书面形式要求供应商作出必要的澄清、说明或者纠正。供应商的澄清、说明或者补正应当采用书面形式，由其授权的代表签字，并不得超出磋商文件的范围或者改变磋商文件的实质性内容。</w:t>
      </w:r>
    </w:p>
    <w:p>
      <w:pPr>
        <w:spacing w:line="360" w:lineRule="auto"/>
        <w:rPr>
          <w:rFonts w:hAnsi="宋体"/>
          <w:b/>
          <w:color w:val="auto"/>
          <w:sz w:val="24"/>
          <w:szCs w:val="24"/>
          <w:highlight w:val="none"/>
        </w:rPr>
      </w:pPr>
      <w:r>
        <w:rPr>
          <w:rFonts w:hAnsi="宋体"/>
          <w:b/>
          <w:color w:val="auto"/>
          <w:sz w:val="24"/>
          <w:szCs w:val="24"/>
          <w:highlight w:val="none"/>
        </w:rPr>
        <w:t xml:space="preserve">24. </w:t>
      </w:r>
      <w:r>
        <w:rPr>
          <w:rFonts w:hint="eastAsia" w:hAnsi="宋体"/>
          <w:b/>
          <w:color w:val="auto"/>
          <w:sz w:val="24"/>
          <w:szCs w:val="24"/>
          <w:highlight w:val="none"/>
        </w:rPr>
        <w:t>磋商响应文件的详细评审：详见第四章《评审办法和程序》。</w:t>
      </w:r>
    </w:p>
    <w:p>
      <w:pPr>
        <w:spacing w:line="360" w:lineRule="auto"/>
        <w:rPr>
          <w:rFonts w:hAnsi="宋体"/>
          <w:b/>
          <w:color w:val="auto"/>
          <w:sz w:val="24"/>
          <w:szCs w:val="24"/>
          <w:highlight w:val="none"/>
        </w:rPr>
      </w:pPr>
      <w:r>
        <w:rPr>
          <w:rFonts w:hAnsi="宋体"/>
          <w:b/>
          <w:color w:val="auto"/>
          <w:sz w:val="24"/>
          <w:szCs w:val="24"/>
          <w:highlight w:val="none"/>
        </w:rPr>
        <w:t xml:space="preserve">25. </w:t>
      </w:r>
      <w:r>
        <w:rPr>
          <w:rFonts w:hint="eastAsia" w:hAnsi="宋体"/>
          <w:b/>
          <w:color w:val="auto"/>
          <w:sz w:val="24"/>
          <w:szCs w:val="24"/>
          <w:highlight w:val="none"/>
        </w:rPr>
        <w:t>确定成交供应商</w:t>
      </w:r>
    </w:p>
    <w:p>
      <w:pPr>
        <w:pStyle w:val="4"/>
        <w:spacing w:before="0" w:after="0" w:line="360" w:lineRule="auto"/>
        <w:ind w:firstLine="480" w:firstLineChars="200"/>
        <w:rPr>
          <w:rFonts w:ascii="宋体" w:hAnsi="宋体" w:eastAsia="宋体" w:cs="宋体"/>
          <w:b w:val="0"/>
          <w:bCs/>
          <w:color w:val="auto"/>
          <w:sz w:val="24"/>
          <w:szCs w:val="24"/>
          <w:highlight w:val="none"/>
        </w:rPr>
      </w:pPr>
      <w:bookmarkStart w:id="54" w:name="_Toc495679404"/>
      <w:r>
        <w:rPr>
          <w:rFonts w:hint="eastAsia" w:ascii="宋体" w:hAnsi="宋体" w:eastAsia="宋体" w:cs="宋体"/>
          <w:b w:val="0"/>
          <w:color w:val="auto"/>
          <w:sz w:val="24"/>
          <w:szCs w:val="24"/>
          <w:highlight w:val="none"/>
        </w:rPr>
        <w:t>磋商小组根据综合评分情况，按照评审得分由高到低顺序推荐</w:t>
      </w:r>
      <w:r>
        <w:rPr>
          <w:rFonts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rPr>
        <w:t>名成交候选供应商。评审得分相同的，按照最后报价由低到高的顺序推荐。评审得分且最后报价相同的，按照技术指标优劣顺序推荐。采购代理机构应当在评审结束后</w:t>
      </w:r>
      <w:r>
        <w:rPr>
          <w:rFonts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rPr>
        <w:t>个工作日内将评审报告送采购人确认。采购人应当在收到评审报告后</w:t>
      </w:r>
      <w:r>
        <w:rPr>
          <w:rFonts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rPr>
        <w:t>个工作日内，从评审报告提出的成交候选供应商中，按照排序由高到低的原则确定成交供应商。采购人逾期未确定成交供应商且不提出异议的，视为确定评审报告提出的排序第一的供应商为成交供应商。采购人或者采购代理机构在成交供应商确定后</w:t>
      </w:r>
      <w:r>
        <w:rPr>
          <w:rFonts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rPr>
        <w:t>个工作日内，在省级以上财政部门指定的政府采购信息发布媒体上公告成交结果，同时向成交供应商发出成交通知书。</w:t>
      </w:r>
      <w:bookmarkEnd w:id="54"/>
    </w:p>
    <w:p>
      <w:pPr>
        <w:pStyle w:val="4"/>
        <w:spacing w:before="0" w:after="0" w:line="360" w:lineRule="auto"/>
        <w:rPr>
          <w:rFonts w:ascii="宋体" w:hAnsi="宋体" w:eastAsia="宋体"/>
          <w:bCs/>
          <w:color w:val="auto"/>
          <w:sz w:val="24"/>
          <w:szCs w:val="24"/>
          <w:highlight w:val="none"/>
        </w:rPr>
      </w:pPr>
      <w:bookmarkStart w:id="55" w:name="_Toc495679405"/>
      <w:r>
        <w:rPr>
          <w:rFonts w:hint="eastAsia" w:ascii="宋体" w:hAnsi="宋体" w:eastAsia="宋体"/>
          <w:color w:val="auto"/>
          <w:sz w:val="24"/>
          <w:szCs w:val="24"/>
          <w:highlight w:val="none"/>
        </w:rPr>
        <w:t>六、授予合同</w:t>
      </w:r>
      <w:bookmarkEnd w:id="55"/>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26. </w:t>
      </w:r>
      <w:r>
        <w:rPr>
          <w:rFonts w:hint="eastAsia" w:hAnsi="宋体"/>
          <w:b/>
          <w:color w:val="auto"/>
          <w:sz w:val="24"/>
          <w:szCs w:val="24"/>
          <w:highlight w:val="none"/>
        </w:rPr>
        <w:t>授予合同的准则</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26.1  </w:t>
      </w:r>
      <w:r>
        <w:rPr>
          <w:rFonts w:hint="eastAsia" w:hAnsi="宋体"/>
          <w:color w:val="auto"/>
          <w:sz w:val="24"/>
          <w:szCs w:val="24"/>
          <w:highlight w:val="none"/>
        </w:rPr>
        <w:t>除</w:t>
      </w:r>
      <w:r>
        <w:rPr>
          <w:color w:val="auto"/>
          <w:sz w:val="24"/>
          <w:szCs w:val="24"/>
          <w:highlight w:val="none"/>
        </w:rPr>
        <w:fldChar w:fldCharType="begin"/>
      </w:r>
      <w:r>
        <w:rPr>
          <w:color w:val="auto"/>
          <w:sz w:val="24"/>
          <w:szCs w:val="24"/>
          <w:highlight w:val="none"/>
        </w:rPr>
        <w:instrText xml:space="preserve"> HYPERLINK \l "_授予合同" \o "招标代理接受或拒绝任何投标或所有投标的权利" </w:instrText>
      </w:r>
      <w:r>
        <w:rPr>
          <w:color w:val="auto"/>
          <w:sz w:val="24"/>
          <w:szCs w:val="24"/>
          <w:highlight w:val="none"/>
        </w:rPr>
        <w:fldChar w:fldCharType="separate"/>
      </w:r>
      <w:r>
        <w:rPr>
          <w:rFonts w:hint="eastAsia" w:hAnsi="宋体"/>
          <w:color w:val="auto"/>
          <w:sz w:val="24"/>
          <w:szCs w:val="24"/>
          <w:highlight w:val="none"/>
        </w:rPr>
        <w:t>第</w:t>
      </w:r>
      <w:r>
        <w:rPr>
          <w:rFonts w:hAnsi="宋体"/>
          <w:color w:val="auto"/>
          <w:sz w:val="24"/>
          <w:szCs w:val="24"/>
          <w:highlight w:val="none"/>
        </w:rPr>
        <w:t>30</w:t>
      </w:r>
      <w:r>
        <w:rPr>
          <w:rFonts w:hint="eastAsia" w:hAnsi="宋体"/>
          <w:color w:val="auto"/>
          <w:sz w:val="24"/>
          <w:szCs w:val="24"/>
          <w:highlight w:val="none"/>
        </w:rPr>
        <w:t>条</w:t>
      </w:r>
      <w:r>
        <w:rPr>
          <w:rFonts w:hint="eastAsia" w:hAnsi="宋体"/>
          <w:color w:val="auto"/>
          <w:sz w:val="24"/>
          <w:szCs w:val="24"/>
          <w:highlight w:val="none"/>
        </w:rPr>
        <w:fldChar w:fldCharType="end"/>
      </w:r>
      <w:r>
        <w:rPr>
          <w:rFonts w:hint="eastAsia" w:hAnsi="宋体"/>
          <w:color w:val="auto"/>
          <w:sz w:val="24"/>
          <w:szCs w:val="24"/>
          <w:highlight w:val="none"/>
        </w:rPr>
        <w:t>规定外，合同将授予采购人确定的成交供应商。成交供应商放弃中标、或因不可抗力提出不能履行合同，或者磋商文件规定应当提交履约保证金而在规定的期限内未能提交的，采购人可以与排位其后第一位的供应商签订合同或重新组织招标，以此类推。</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26.2 </w:t>
      </w:r>
      <w:r>
        <w:rPr>
          <w:rFonts w:hint="eastAsia" w:hAnsi="宋体"/>
          <w:color w:val="auto"/>
          <w:sz w:val="24"/>
          <w:szCs w:val="24"/>
          <w:highlight w:val="none"/>
        </w:rPr>
        <w:t>如采购人发现成交供应商在投标、提供资料时有弄虚作假的行为，经核实，采购人有权拒绝该成交供应商的投标。</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26.3 </w:t>
      </w:r>
      <w:r>
        <w:rPr>
          <w:rFonts w:hint="eastAsia" w:hAnsi="宋体"/>
          <w:color w:val="auto"/>
          <w:sz w:val="24"/>
          <w:szCs w:val="24"/>
          <w:highlight w:val="none"/>
        </w:rPr>
        <w:t>其他规定见《供应商须知前附表》。</w:t>
      </w:r>
    </w:p>
    <w:p>
      <w:pPr>
        <w:spacing w:line="360" w:lineRule="auto"/>
        <w:rPr>
          <w:rFonts w:hAnsi="宋体"/>
          <w:b/>
          <w:color w:val="auto"/>
          <w:sz w:val="24"/>
          <w:szCs w:val="24"/>
          <w:highlight w:val="none"/>
        </w:rPr>
      </w:pPr>
      <w:r>
        <w:rPr>
          <w:rFonts w:hAnsi="宋体"/>
          <w:b/>
          <w:color w:val="auto"/>
          <w:sz w:val="24"/>
          <w:szCs w:val="24"/>
          <w:highlight w:val="none"/>
        </w:rPr>
        <w:t xml:space="preserve">27. </w:t>
      </w:r>
      <w:r>
        <w:rPr>
          <w:rFonts w:hint="eastAsia" w:hAnsi="宋体"/>
          <w:b/>
          <w:color w:val="auto"/>
          <w:sz w:val="24"/>
          <w:szCs w:val="24"/>
          <w:highlight w:val="none"/>
        </w:rPr>
        <w:t>资格后审</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供应商的财务、技术、和供货能力及信誉，确定其是否有资格能圆满地履行合同。如果审查通过，则将合同授予该供应商；如果审查没有通过，则拒绝其投标。在此情况下，磋商小组将对排位其后第一位的供应商的能力做类似的审查。</w:t>
      </w:r>
    </w:p>
    <w:p>
      <w:pPr>
        <w:spacing w:line="360" w:lineRule="auto"/>
        <w:rPr>
          <w:rFonts w:hAnsi="宋体"/>
          <w:b/>
          <w:color w:val="auto"/>
          <w:sz w:val="24"/>
          <w:szCs w:val="24"/>
          <w:highlight w:val="none"/>
        </w:rPr>
      </w:pPr>
      <w:r>
        <w:rPr>
          <w:rFonts w:hAnsi="宋体"/>
          <w:b/>
          <w:color w:val="auto"/>
          <w:sz w:val="24"/>
          <w:szCs w:val="24"/>
          <w:highlight w:val="none"/>
        </w:rPr>
        <w:t xml:space="preserve">28. </w:t>
      </w:r>
      <w:r>
        <w:rPr>
          <w:rFonts w:hint="eastAsia" w:hAnsi="宋体"/>
          <w:b/>
          <w:color w:val="auto"/>
          <w:sz w:val="24"/>
          <w:szCs w:val="24"/>
          <w:highlight w:val="none"/>
        </w:rPr>
        <w:t>在授予合同时变更采购服务任务的权利</w:t>
      </w:r>
      <w:r>
        <w:rPr>
          <w:rFonts w:hAnsi="宋体"/>
          <w:b/>
          <w:color w:val="auto"/>
          <w:sz w:val="24"/>
          <w:szCs w:val="24"/>
          <w:highlight w:val="none"/>
        </w:rPr>
        <w:t xml:space="preserve"> </w:t>
      </w:r>
      <w:r>
        <w:rPr>
          <w:rFonts w:hint="eastAsia" w:hAnsi="宋体"/>
          <w:b/>
          <w:color w:val="auto"/>
          <w:sz w:val="24"/>
          <w:szCs w:val="24"/>
          <w:highlight w:val="none"/>
        </w:rPr>
        <w:t>（适用）</w:t>
      </w:r>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29. </w:t>
      </w:r>
      <w:r>
        <w:rPr>
          <w:rFonts w:hint="eastAsia" w:hAnsi="宋体" w:cs="Arial"/>
          <w:b/>
          <w:color w:val="auto"/>
          <w:sz w:val="24"/>
          <w:szCs w:val="24"/>
          <w:highlight w:val="none"/>
        </w:rPr>
        <w:t>接受和拒绝任何投标或所有投标的权利</w:t>
      </w:r>
      <w:r>
        <w:rPr>
          <w:rFonts w:hAnsi="宋体" w:cs="Arial"/>
          <w:b/>
          <w:color w:val="auto"/>
          <w:sz w:val="24"/>
          <w:szCs w:val="24"/>
          <w:highlight w:val="none"/>
        </w:rPr>
        <w:t xml:space="preserve"> </w:t>
      </w:r>
      <w:r>
        <w:rPr>
          <w:rFonts w:hint="eastAsia" w:hAnsi="宋体"/>
          <w:b/>
          <w:color w:val="auto"/>
          <w:sz w:val="24"/>
          <w:szCs w:val="24"/>
          <w:highlight w:val="none"/>
        </w:rPr>
        <w:t>（适用）</w:t>
      </w:r>
    </w:p>
    <w:p>
      <w:pPr>
        <w:spacing w:line="360" w:lineRule="auto"/>
        <w:ind w:left="480" w:hanging="480" w:hangingChars="200"/>
        <w:rPr>
          <w:rFonts w:hAnsi="宋体" w:cs="Arial"/>
          <w:color w:val="auto"/>
          <w:sz w:val="24"/>
          <w:szCs w:val="24"/>
          <w:highlight w:val="none"/>
        </w:rPr>
      </w:pPr>
      <w:r>
        <w:rPr>
          <w:rFonts w:hAnsi="宋体" w:cs="Arial"/>
          <w:color w:val="auto"/>
          <w:sz w:val="24"/>
          <w:szCs w:val="24"/>
          <w:highlight w:val="none"/>
        </w:rPr>
        <w:t xml:space="preserve">29.1 </w:t>
      </w:r>
      <w:r>
        <w:rPr>
          <w:rFonts w:hint="eastAsia" w:hAnsi="宋体" w:cs="Arial"/>
          <w:color w:val="auto"/>
          <w:sz w:val="24"/>
          <w:szCs w:val="24"/>
          <w:highlight w:val="none"/>
        </w:rPr>
        <w:t>供应商的报价均超过了采购预算，且采购人不能支付的，将予以废标；</w:t>
      </w:r>
    </w:p>
    <w:p>
      <w:pPr>
        <w:spacing w:line="360" w:lineRule="auto"/>
        <w:ind w:left="480" w:hanging="480" w:hangingChars="200"/>
        <w:rPr>
          <w:rFonts w:hAnsi="宋体" w:cs="Arial"/>
          <w:color w:val="auto"/>
          <w:sz w:val="24"/>
          <w:szCs w:val="24"/>
          <w:highlight w:val="none"/>
        </w:rPr>
      </w:pPr>
      <w:r>
        <w:rPr>
          <w:rFonts w:hAnsi="宋体" w:cs="Arial"/>
          <w:color w:val="auto"/>
          <w:sz w:val="24"/>
          <w:szCs w:val="24"/>
          <w:highlight w:val="none"/>
        </w:rPr>
        <w:t xml:space="preserve">29.2 </w:t>
      </w:r>
      <w:r>
        <w:rPr>
          <w:rFonts w:hint="eastAsia" w:hAnsi="宋体" w:cs="Arial"/>
          <w:color w:val="auto"/>
          <w:sz w:val="24"/>
          <w:szCs w:val="24"/>
          <w:highlight w:val="none"/>
        </w:rPr>
        <w:t>因重大变故或为维护国家利益，采购人在授予合同之前仍保留接受或拒绝任何投标或所有投标的权利。</w:t>
      </w:r>
    </w:p>
    <w:p>
      <w:pPr>
        <w:spacing w:line="360" w:lineRule="auto"/>
        <w:ind w:left="482" w:hanging="482" w:hangingChars="200"/>
        <w:rPr>
          <w:rFonts w:hAnsi="宋体"/>
          <w:b/>
          <w:color w:val="auto"/>
          <w:sz w:val="24"/>
          <w:szCs w:val="24"/>
          <w:highlight w:val="none"/>
        </w:rPr>
      </w:pPr>
      <w:r>
        <w:rPr>
          <w:rFonts w:hAnsi="宋体" w:cs="Arial"/>
          <w:b/>
          <w:color w:val="auto"/>
          <w:sz w:val="24"/>
          <w:szCs w:val="24"/>
          <w:highlight w:val="none"/>
        </w:rPr>
        <w:t xml:space="preserve">30. </w:t>
      </w:r>
      <w:r>
        <w:rPr>
          <w:rFonts w:hint="eastAsia" w:hAnsi="宋体" w:cs="Arial"/>
          <w:b/>
          <w:color w:val="auto"/>
          <w:sz w:val="24"/>
          <w:szCs w:val="24"/>
          <w:highlight w:val="none"/>
        </w:rPr>
        <w:t>成交通知</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30.1 </w:t>
      </w:r>
      <w:r>
        <w:rPr>
          <w:rFonts w:hint="eastAsia" w:hAnsi="宋体"/>
          <w:color w:val="auto"/>
          <w:sz w:val="24"/>
          <w:szCs w:val="24"/>
          <w:highlight w:val="none"/>
        </w:rPr>
        <w:t>磋商响应文件有效期期满前，采购人将以书面形式通知成交供应商其投标被接受。</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30.2 </w:t>
      </w:r>
      <w:r>
        <w:rPr>
          <w:rFonts w:hint="eastAsia" w:hAnsi="宋体"/>
          <w:color w:val="auto"/>
          <w:sz w:val="24"/>
          <w:szCs w:val="24"/>
          <w:highlight w:val="none"/>
        </w:rPr>
        <w:t>采购人向成交供应商发出书面通知的同时，采购人通知落选的供应商其投标未被接受。</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30.3 </w:t>
      </w:r>
      <w:r>
        <w:rPr>
          <w:rFonts w:hint="eastAsia" w:hAnsi="宋体"/>
          <w:color w:val="auto"/>
          <w:sz w:val="24"/>
          <w:szCs w:val="24"/>
          <w:highlight w:val="none"/>
        </w:rPr>
        <w:t>成交通知书是合同的一个组成部分。</w:t>
      </w:r>
    </w:p>
    <w:p>
      <w:pPr>
        <w:spacing w:line="360" w:lineRule="auto"/>
        <w:ind w:left="482" w:hanging="482" w:hangingChars="200"/>
        <w:rPr>
          <w:rFonts w:hAnsi="宋体"/>
          <w:b/>
          <w:color w:val="auto"/>
          <w:sz w:val="24"/>
          <w:szCs w:val="24"/>
          <w:highlight w:val="none"/>
        </w:rPr>
      </w:pPr>
      <w:r>
        <w:rPr>
          <w:rFonts w:hAnsi="宋体"/>
          <w:b/>
          <w:color w:val="auto"/>
          <w:sz w:val="24"/>
          <w:szCs w:val="24"/>
          <w:highlight w:val="none"/>
        </w:rPr>
        <w:t xml:space="preserve">31. </w:t>
      </w:r>
      <w:r>
        <w:rPr>
          <w:rFonts w:hint="eastAsia" w:hAnsi="宋体"/>
          <w:b/>
          <w:color w:val="auto"/>
          <w:sz w:val="24"/>
          <w:szCs w:val="24"/>
          <w:highlight w:val="none"/>
        </w:rPr>
        <w:t>签署合同</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31.1 </w:t>
      </w:r>
      <w:r>
        <w:rPr>
          <w:rFonts w:hint="eastAsia" w:hAnsi="宋体"/>
          <w:color w:val="auto"/>
          <w:sz w:val="24"/>
          <w:szCs w:val="24"/>
          <w:highlight w:val="none"/>
        </w:rPr>
        <w:t>采购人通知成交供应商成交时，将提供磋商文件中的合同格式，包括双方之间的有关协议给成交供应商。</w:t>
      </w:r>
    </w:p>
    <w:p>
      <w:pPr>
        <w:spacing w:line="360" w:lineRule="auto"/>
        <w:ind w:left="480" w:hanging="480" w:hangingChars="200"/>
        <w:rPr>
          <w:rFonts w:hAnsi="宋体"/>
          <w:color w:val="auto"/>
          <w:sz w:val="24"/>
          <w:szCs w:val="24"/>
          <w:highlight w:val="none"/>
        </w:rPr>
      </w:pPr>
      <w:r>
        <w:rPr>
          <w:rFonts w:hAnsi="宋体"/>
          <w:color w:val="auto"/>
          <w:sz w:val="24"/>
          <w:szCs w:val="24"/>
          <w:highlight w:val="none"/>
        </w:rPr>
        <w:t xml:space="preserve">31.2 </w:t>
      </w:r>
      <w:r>
        <w:rPr>
          <w:rFonts w:hint="eastAsia" w:hAnsi="宋体"/>
          <w:color w:val="auto"/>
          <w:sz w:val="24"/>
          <w:szCs w:val="24"/>
          <w:highlight w:val="none"/>
        </w:rPr>
        <w:t>成交供应商在收到成交通知书和合同格式后，在成交通知书上规定的时间内，应派授权代表前往采购人指定地点签订合同。</w:t>
      </w:r>
    </w:p>
    <w:p>
      <w:pPr>
        <w:numPr>
          <w:ilvl w:val="0"/>
          <w:numId w:val="8"/>
        </w:numPr>
        <w:spacing w:line="360" w:lineRule="auto"/>
        <w:rPr>
          <w:rFonts w:hAnsi="宋体"/>
          <w:b/>
          <w:color w:val="auto"/>
          <w:sz w:val="24"/>
          <w:szCs w:val="24"/>
          <w:highlight w:val="none"/>
        </w:rPr>
      </w:pPr>
      <w:r>
        <w:rPr>
          <w:rFonts w:hint="eastAsia" w:hAnsi="宋体"/>
          <w:b/>
          <w:color w:val="auto"/>
          <w:sz w:val="24"/>
          <w:szCs w:val="24"/>
          <w:highlight w:val="none"/>
        </w:rPr>
        <w:t>履约保证金</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详见《供应商须知前附表》</w:t>
      </w:r>
    </w:p>
    <w:p>
      <w:pPr>
        <w:spacing w:line="360" w:lineRule="auto"/>
        <w:rPr>
          <w:rFonts w:hAnsi="宋体"/>
          <w:b/>
          <w:color w:val="auto"/>
          <w:sz w:val="24"/>
          <w:szCs w:val="24"/>
          <w:highlight w:val="none"/>
        </w:rPr>
      </w:pPr>
      <w:r>
        <w:rPr>
          <w:rFonts w:hAnsi="宋体"/>
          <w:b/>
          <w:color w:val="auto"/>
          <w:sz w:val="24"/>
          <w:szCs w:val="24"/>
          <w:highlight w:val="none"/>
        </w:rPr>
        <w:t xml:space="preserve">33. </w:t>
      </w:r>
      <w:r>
        <w:rPr>
          <w:rFonts w:hint="eastAsia" w:hAnsi="宋体"/>
          <w:b/>
          <w:color w:val="auto"/>
          <w:sz w:val="24"/>
          <w:szCs w:val="24"/>
          <w:highlight w:val="none"/>
        </w:rPr>
        <w:t>采购代理服务费</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详见《供应商须知前附表》</w:t>
      </w:r>
    </w:p>
    <w:p>
      <w:pPr>
        <w:spacing w:line="360" w:lineRule="auto"/>
        <w:rPr>
          <w:rFonts w:hAnsi="宋体"/>
          <w:color w:val="auto"/>
          <w:sz w:val="24"/>
          <w:szCs w:val="24"/>
          <w:highlight w:val="none"/>
        </w:rPr>
      </w:pPr>
      <w:r>
        <w:rPr>
          <w:rFonts w:hAnsi="宋体"/>
          <w:b/>
          <w:color w:val="auto"/>
          <w:sz w:val="24"/>
          <w:szCs w:val="24"/>
          <w:highlight w:val="none"/>
        </w:rPr>
        <w:t>34.</w:t>
      </w:r>
      <w:r>
        <w:rPr>
          <w:rFonts w:hint="eastAsia" w:hAnsi="宋体"/>
          <w:b/>
          <w:color w:val="auto"/>
          <w:sz w:val="24"/>
          <w:szCs w:val="24"/>
          <w:highlight w:val="none"/>
        </w:rPr>
        <w:t>关于政策性优惠</w:t>
      </w:r>
    </w:p>
    <w:p>
      <w:pPr>
        <w:spacing w:line="360" w:lineRule="auto"/>
        <w:ind w:firstLine="468"/>
        <w:rPr>
          <w:rFonts w:hAnsi="宋体" w:cs="宋体"/>
          <w:bCs/>
          <w:color w:val="auto"/>
          <w:sz w:val="24"/>
          <w:szCs w:val="24"/>
          <w:highlight w:val="none"/>
        </w:rPr>
      </w:pPr>
      <w:r>
        <w:rPr>
          <w:rFonts w:hint="eastAsia" w:hAnsi="宋体" w:cs="宋体"/>
          <w:bCs/>
          <w:color w:val="auto"/>
          <w:sz w:val="24"/>
          <w:szCs w:val="24"/>
          <w:highlight w:val="none"/>
        </w:rPr>
        <w:t>根据财政部、工业和信息化部《政府采购促进中小企业发展管理办法》（</w:t>
      </w:r>
      <w:r>
        <w:rPr>
          <w:rFonts w:hint="eastAsia" w:hAnsi="宋体"/>
          <w:color w:val="auto"/>
          <w:sz w:val="24"/>
          <w:szCs w:val="24"/>
          <w:highlight w:val="none"/>
        </w:rPr>
        <w:t>财库〔2020〕46号</w:t>
      </w:r>
      <w:r>
        <w:rPr>
          <w:rFonts w:hint="eastAsia" w:hAnsi="宋体" w:cs="宋体"/>
          <w:bCs/>
          <w:color w:val="auto"/>
          <w:sz w:val="24"/>
          <w:szCs w:val="24"/>
          <w:highlight w:val="none"/>
        </w:rPr>
        <w:t>）的要求，政府关于强制采购节能产品、信息安全产品和优先采购环境标志产品的实施意见，以及根据《财政部、司法部关于政府采购支持监狱企业发展有关问题的通知》和《</w:t>
      </w:r>
      <w:r>
        <w:rPr>
          <w:rFonts w:hAnsi="宋体" w:cs="宋体"/>
          <w:bCs/>
          <w:color w:val="auto"/>
          <w:sz w:val="24"/>
          <w:szCs w:val="24"/>
          <w:highlight w:val="none"/>
        </w:rPr>
        <w:t>财政部</w:t>
      </w:r>
      <w:r>
        <w:rPr>
          <w:rFonts w:hint="eastAsia" w:hAnsi="宋体" w:cs="宋体"/>
          <w:bCs/>
          <w:color w:val="auto"/>
          <w:sz w:val="24"/>
          <w:szCs w:val="24"/>
          <w:highlight w:val="none"/>
        </w:rPr>
        <w:t>、</w:t>
      </w:r>
      <w:r>
        <w:rPr>
          <w:rFonts w:hAnsi="宋体" w:cs="宋体"/>
          <w:bCs/>
          <w:color w:val="auto"/>
          <w:sz w:val="24"/>
          <w:szCs w:val="24"/>
          <w:highlight w:val="none"/>
        </w:rPr>
        <w:t>民政部</w:t>
      </w:r>
      <w:r>
        <w:rPr>
          <w:rFonts w:hint="eastAsia" w:hAnsi="宋体" w:cs="宋体"/>
          <w:bCs/>
          <w:color w:val="auto"/>
          <w:sz w:val="24"/>
          <w:szCs w:val="24"/>
          <w:highlight w:val="none"/>
        </w:rPr>
        <w:t>、</w:t>
      </w:r>
      <w:r>
        <w:rPr>
          <w:rFonts w:hAnsi="宋体" w:cs="宋体"/>
          <w:bCs/>
          <w:color w:val="auto"/>
          <w:sz w:val="24"/>
          <w:szCs w:val="24"/>
          <w:highlight w:val="none"/>
        </w:rPr>
        <w:t>中国残疾人联合会</w:t>
      </w:r>
      <w:r>
        <w:rPr>
          <w:rFonts w:hint="eastAsia" w:hAnsi="宋体" w:cs="宋体"/>
          <w:bCs/>
          <w:color w:val="auto"/>
          <w:sz w:val="24"/>
          <w:szCs w:val="24"/>
          <w:highlight w:val="none"/>
        </w:rPr>
        <w:t>关于促进残疾人就业政府采购政策的通知》（财库〔2017〕141号）的文件精神，本项目相应的政府采购政策优惠条件及要求如下：</w:t>
      </w:r>
    </w:p>
    <w:p>
      <w:pPr>
        <w:spacing w:line="360" w:lineRule="auto"/>
        <w:ind w:firstLine="468"/>
        <w:rPr>
          <w:rFonts w:hAnsi="宋体"/>
          <w:b/>
          <w:color w:val="auto"/>
          <w:sz w:val="24"/>
          <w:szCs w:val="24"/>
          <w:highlight w:val="none"/>
        </w:rPr>
      </w:pPr>
      <w:r>
        <w:rPr>
          <w:rFonts w:hint="eastAsia" w:hAnsi="宋体" w:cs="宋体"/>
          <w:b/>
          <w:bCs/>
          <w:color w:val="auto"/>
          <w:sz w:val="24"/>
          <w:szCs w:val="24"/>
          <w:highlight w:val="none"/>
        </w:rPr>
        <w:t>节能环保优先政策</w:t>
      </w:r>
    </w:p>
    <w:p>
      <w:pPr>
        <w:spacing w:line="360" w:lineRule="auto"/>
        <w:ind w:firstLine="465"/>
        <w:rPr>
          <w:rFonts w:hAnsi="宋体"/>
          <w:color w:val="auto"/>
          <w:sz w:val="24"/>
          <w:szCs w:val="24"/>
          <w:highlight w:val="none"/>
        </w:rPr>
      </w:pPr>
      <w:r>
        <w:rPr>
          <w:rFonts w:hint="eastAsia" w:hAnsi="宋体"/>
          <w:color w:val="auto"/>
          <w:sz w:val="24"/>
          <w:szCs w:val="24"/>
          <w:highlight w:val="none"/>
        </w:rPr>
        <w:t xml:space="preserve">18.2.1所投分包(如不分包则指本项目)的所有投标产品进入当期节能清单的，其评标价=投标报价*（1-2%）；投标人所投产品满足此规定的，必须提供声明函并提供相关证明文件。 </w:t>
      </w:r>
    </w:p>
    <w:p>
      <w:pPr>
        <w:spacing w:line="360" w:lineRule="auto"/>
        <w:ind w:firstLine="465"/>
        <w:rPr>
          <w:rFonts w:hAnsi="宋体"/>
          <w:color w:val="auto"/>
          <w:sz w:val="24"/>
          <w:szCs w:val="24"/>
          <w:highlight w:val="none"/>
        </w:rPr>
      </w:pPr>
      <w:r>
        <w:rPr>
          <w:rFonts w:hint="eastAsia" w:hAnsi="宋体"/>
          <w:color w:val="auto"/>
          <w:sz w:val="24"/>
          <w:szCs w:val="24"/>
          <w:highlight w:val="none"/>
        </w:rPr>
        <w:t>18.2.2所投分包(如不分包则指本项目)的所有投标产品进入当期环保清单的，其评标价=投标报价*（1-1%）；投标人所投产品满足此规定的，必须提供声明函并提供相关证明文件。</w:t>
      </w:r>
    </w:p>
    <w:p>
      <w:pPr>
        <w:spacing w:line="360" w:lineRule="auto"/>
        <w:ind w:firstLine="465"/>
        <w:rPr>
          <w:rFonts w:hAnsi="宋体"/>
          <w:color w:val="auto"/>
          <w:sz w:val="24"/>
          <w:szCs w:val="24"/>
          <w:highlight w:val="none"/>
        </w:rPr>
      </w:pPr>
      <w:r>
        <w:rPr>
          <w:rFonts w:hint="eastAsia" w:hAnsi="宋体"/>
          <w:color w:val="auto"/>
          <w:sz w:val="24"/>
          <w:szCs w:val="24"/>
          <w:highlight w:val="none"/>
        </w:rPr>
        <w:t>18.2.3投标人为小型和微型企业（含监狱企业和残疾人福利性单位）的情况：</w:t>
      </w:r>
    </w:p>
    <w:p>
      <w:pPr>
        <w:spacing w:line="360" w:lineRule="auto"/>
        <w:ind w:firstLine="468"/>
        <w:rPr>
          <w:rFonts w:hAnsi="宋体" w:cs="宋体"/>
          <w:b/>
          <w:bCs/>
          <w:color w:val="auto"/>
          <w:sz w:val="24"/>
          <w:szCs w:val="24"/>
          <w:highlight w:val="none"/>
        </w:rPr>
      </w:pPr>
      <w:r>
        <w:rPr>
          <w:rFonts w:hint="eastAsia" w:hAnsi="宋体" w:cs="宋体"/>
          <w:b/>
          <w:bCs/>
          <w:color w:val="auto"/>
          <w:sz w:val="24"/>
          <w:szCs w:val="24"/>
          <w:highlight w:val="none"/>
        </w:rPr>
        <w:t>中小企业扶持政策</w:t>
      </w:r>
    </w:p>
    <w:p>
      <w:pPr>
        <w:spacing w:line="360" w:lineRule="auto"/>
        <w:ind w:firstLine="465"/>
        <w:rPr>
          <w:rFonts w:hAnsi="宋体"/>
          <w:color w:val="auto"/>
          <w:sz w:val="24"/>
          <w:szCs w:val="24"/>
          <w:highlight w:val="none"/>
        </w:rPr>
      </w:pPr>
      <w:r>
        <w:rPr>
          <w:rFonts w:hint="eastAsia" w:hAnsi="宋体"/>
          <w:color w:val="auto"/>
          <w:sz w:val="24"/>
          <w:szCs w:val="24"/>
          <w:highlight w:val="none"/>
        </w:rPr>
        <w:t>18.2.3.1中小企业的认定标准：</w:t>
      </w:r>
    </w:p>
    <w:p>
      <w:pPr>
        <w:spacing w:line="360" w:lineRule="auto"/>
        <w:ind w:firstLine="465"/>
        <w:rPr>
          <w:rFonts w:hAnsi="宋体"/>
          <w:color w:val="auto"/>
          <w:sz w:val="24"/>
          <w:szCs w:val="24"/>
          <w:highlight w:val="none"/>
        </w:rPr>
      </w:pPr>
      <w:r>
        <w:rPr>
          <w:rFonts w:hint="eastAsia" w:hAnsi="宋体"/>
          <w:color w:val="auto"/>
          <w:sz w:val="24"/>
          <w:szCs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65"/>
        <w:rPr>
          <w:rFonts w:hAnsi="宋体"/>
          <w:color w:val="auto"/>
          <w:sz w:val="24"/>
          <w:szCs w:val="24"/>
          <w:highlight w:val="none"/>
        </w:rPr>
      </w:pPr>
      <w:r>
        <w:rPr>
          <w:rFonts w:hint="eastAsia" w:hAnsi="宋体"/>
          <w:color w:val="auto"/>
          <w:sz w:val="24"/>
          <w:szCs w:val="24"/>
          <w:highlight w:val="none"/>
        </w:rPr>
        <w:t>2）本规定所称中小企业划分标准，是指国务院有关部门根据企业从业人员、营业收入、资产总额等指标制定的中小企业划型标准（工信部联企业〔2011〕300号）；</w:t>
      </w:r>
    </w:p>
    <w:p>
      <w:pPr>
        <w:spacing w:line="360" w:lineRule="auto"/>
        <w:ind w:firstLine="465"/>
        <w:rPr>
          <w:rFonts w:hAnsi="宋体"/>
          <w:color w:val="auto"/>
          <w:sz w:val="24"/>
          <w:szCs w:val="24"/>
          <w:highlight w:val="none"/>
        </w:rPr>
      </w:pPr>
      <w:r>
        <w:rPr>
          <w:rFonts w:hint="eastAsia" w:hAnsi="宋体"/>
          <w:color w:val="auto"/>
          <w:sz w:val="24"/>
          <w:szCs w:val="24"/>
          <w:highlight w:val="none"/>
        </w:rPr>
        <w:t>3）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ind w:firstLine="465"/>
        <w:rPr>
          <w:rFonts w:hAnsi="宋体"/>
          <w:color w:val="auto"/>
          <w:sz w:val="24"/>
          <w:szCs w:val="24"/>
          <w:highlight w:val="none"/>
        </w:rPr>
      </w:pPr>
      <w:r>
        <w:rPr>
          <w:rFonts w:hint="eastAsia" w:hAnsi="宋体"/>
          <w:color w:val="auto"/>
          <w:sz w:val="24"/>
          <w:szCs w:val="24"/>
          <w:highlight w:val="none"/>
        </w:rPr>
        <w:t>4）小型、微型企业提供有中型企业制造的货物的，视同为中型企业；小型、微型、中型企业提供有大型企业制造的货物的，视同为大型企业。</w:t>
      </w:r>
    </w:p>
    <w:p>
      <w:pPr>
        <w:spacing w:line="360" w:lineRule="auto"/>
        <w:ind w:firstLine="465"/>
        <w:rPr>
          <w:rFonts w:hAnsi="宋体"/>
          <w:color w:val="auto"/>
          <w:sz w:val="24"/>
          <w:szCs w:val="24"/>
          <w:highlight w:val="none"/>
        </w:rPr>
      </w:pPr>
      <w:r>
        <w:rPr>
          <w:rFonts w:hint="eastAsia" w:hAnsi="宋体"/>
          <w:color w:val="auto"/>
          <w:sz w:val="24"/>
          <w:szCs w:val="24"/>
          <w:highlight w:val="none"/>
        </w:rPr>
        <w:t>18.2.3.2具体评审价说明：</w:t>
      </w:r>
    </w:p>
    <w:p>
      <w:pPr>
        <w:spacing w:line="360" w:lineRule="auto"/>
        <w:ind w:firstLine="465"/>
        <w:rPr>
          <w:rFonts w:hAnsi="宋体"/>
          <w:color w:val="auto"/>
          <w:sz w:val="24"/>
          <w:szCs w:val="24"/>
          <w:highlight w:val="none"/>
        </w:rPr>
      </w:pPr>
      <w:r>
        <w:rPr>
          <w:rFonts w:hint="eastAsia" w:hAnsi="宋体"/>
          <w:color w:val="auto"/>
          <w:sz w:val="24"/>
          <w:szCs w:val="24"/>
          <w:highlight w:val="none"/>
        </w:rPr>
        <w:t>1）投标人符合</w:t>
      </w:r>
      <w:r>
        <w:rPr>
          <w:rFonts w:hint="eastAsia" w:hAnsi="宋体" w:cs="宋体"/>
          <w:bCs/>
          <w:color w:val="auto"/>
          <w:sz w:val="24"/>
          <w:szCs w:val="24"/>
          <w:highlight w:val="none"/>
        </w:rPr>
        <w:t>（</w:t>
      </w:r>
      <w:r>
        <w:rPr>
          <w:rFonts w:hint="eastAsia" w:hAnsi="宋体"/>
          <w:color w:val="auto"/>
          <w:sz w:val="24"/>
          <w:szCs w:val="24"/>
          <w:highlight w:val="none"/>
        </w:rPr>
        <w:t>财库〔2020〕46号）规定的小微型企业报价给予</w:t>
      </w:r>
      <w:r>
        <w:rPr>
          <w:rFonts w:hint="eastAsia" w:hAnsi="宋体"/>
          <w:color w:val="auto"/>
          <w:sz w:val="24"/>
          <w:szCs w:val="24"/>
          <w:highlight w:val="none"/>
          <w:lang w:val="en-US" w:eastAsia="zh-CN"/>
        </w:rPr>
        <w:t>10</w:t>
      </w:r>
      <w:r>
        <w:rPr>
          <w:rFonts w:hAnsi="宋体"/>
          <w:color w:val="auto"/>
          <w:sz w:val="24"/>
          <w:szCs w:val="24"/>
          <w:highlight w:val="none"/>
        </w:rPr>
        <w:t>%</w:t>
      </w:r>
      <w:r>
        <w:rPr>
          <w:rFonts w:hint="eastAsia" w:hAnsi="宋体"/>
          <w:color w:val="auto"/>
          <w:sz w:val="24"/>
          <w:szCs w:val="24"/>
          <w:highlight w:val="none"/>
        </w:rPr>
        <w:t>（工程项目为</w:t>
      </w:r>
      <w:r>
        <w:rPr>
          <w:rFonts w:hAnsi="宋体"/>
          <w:color w:val="auto"/>
          <w:sz w:val="24"/>
          <w:szCs w:val="24"/>
          <w:highlight w:val="none"/>
        </w:rPr>
        <w:t>3%</w:t>
      </w:r>
      <w:r>
        <w:rPr>
          <w:rFonts w:hint="eastAsia" w:hAnsi="宋体"/>
          <w:color w:val="auto"/>
          <w:sz w:val="24"/>
          <w:szCs w:val="24"/>
          <w:highlight w:val="none"/>
        </w:rPr>
        <w:t>）扣除，用扣除后的价格参加评审。</w:t>
      </w:r>
    </w:p>
    <w:p>
      <w:pPr>
        <w:spacing w:line="360" w:lineRule="auto"/>
        <w:ind w:firstLine="465"/>
        <w:rPr>
          <w:rFonts w:hAnsi="宋体"/>
          <w:color w:val="auto"/>
          <w:sz w:val="24"/>
          <w:szCs w:val="24"/>
          <w:highlight w:val="none"/>
        </w:rPr>
      </w:pPr>
      <w:r>
        <w:rPr>
          <w:rFonts w:hint="eastAsia" w:hAnsi="宋体"/>
          <w:color w:val="auto"/>
          <w:sz w:val="24"/>
          <w:szCs w:val="24"/>
          <w:highlight w:val="none"/>
        </w:rPr>
        <w:t>适用招标投标法的政府采购工程建设项目，采用综合评估法但未采用低价优先法计算价格分的，评标时在采用原报价进行评分的基础上增加其价格得分的</w:t>
      </w:r>
      <w:r>
        <w:rPr>
          <w:rFonts w:hAnsi="宋体"/>
          <w:color w:val="auto"/>
          <w:sz w:val="24"/>
          <w:szCs w:val="24"/>
          <w:highlight w:val="none"/>
        </w:rPr>
        <w:t>3%</w:t>
      </w:r>
      <w:r>
        <w:rPr>
          <w:rFonts w:hint="eastAsia" w:hAnsi="宋体"/>
          <w:color w:val="auto"/>
          <w:sz w:val="24"/>
          <w:szCs w:val="24"/>
          <w:highlight w:val="none"/>
        </w:rPr>
        <w:t>作为其价格分。</w:t>
      </w:r>
    </w:p>
    <w:p>
      <w:pPr>
        <w:shd w:val="clear" w:color="auto" w:fill="FFFFFF"/>
        <w:spacing w:line="360" w:lineRule="auto"/>
        <w:ind w:firstLine="480"/>
        <w:rPr>
          <w:rFonts w:hAnsi="宋体"/>
          <w:color w:val="auto"/>
          <w:sz w:val="24"/>
          <w:szCs w:val="24"/>
          <w:highlight w:val="none"/>
        </w:rPr>
      </w:pPr>
      <w:r>
        <w:rPr>
          <w:rFonts w:hint="eastAsia" w:hAnsi="宋体"/>
          <w:color w:val="auto"/>
          <w:sz w:val="24"/>
          <w:szCs w:val="24"/>
          <w:highlight w:val="none"/>
        </w:rPr>
        <w:t>2）接受大中型企业与小微企业组成联合体或者允许大中型企业向一家或者多家小微企业分包的采购项目，对于联合协议或者分包意向协议约定小微企业的合同份额占到合同总金额</w:t>
      </w:r>
      <w:r>
        <w:rPr>
          <w:rFonts w:hAnsi="宋体"/>
          <w:color w:val="auto"/>
          <w:sz w:val="24"/>
          <w:szCs w:val="24"/>
          <w:highlight w:val="none"/>
        </w:rPr>
        <w:t>30%</w:t>
      </w:r>
      <w:r>
        <w:rPr>
          <w:rFonts w:hint="eastAsia" w:hAnsi="宋体"/>
          <w:color w:val="auto"/>
          <w:sz w:val="24"/>
          <w:szCs w:val="24"/>
          <w:highlight w:val="none"/>
        </w:rPr>
        <w:t>以上的，对联合体或者大中型企业的报价给予</w:t>
      </w:r>
      <w:r>
        <w:rPr>
          <w:rFonts w:hAnsi="宋体"/>
          <w:color w:val="auto"/>
          <w:sz w:val="24"/>
          <w:szCs w:val="24"/>
          <w:highlight w:val="none"/>
        </w:rPr>
        <w:t>2%</w:t>
      </w:r>
      <w:r>
        <w:rPr>
          <w:rFonts w:hint="eastAsia" w:hAnsi="宋体"/>
          <w:color w:val="auto"/>
          <w:sz w:val="24"/>
          <w:szCs w:val="24"/>
          <w:highlight w:val="none"/>
        </w:rPr>
        <w:t>（工程项目为</w:t>
      </w:r>
      <w:r>
        <w:rPr>
          <w:rFonts w:hAnsi="宋体"/>
          <w:color w:val="auto"/>
          <w:sz w:val="24"/>
          <w:szCs w:val="24"/>
          <w:highlight w:val="none"/>
        </w:rPr>
        <w:t>1%</w:t>
      </w:r>
      <w:r>
        <w:rPr>
          <w:rFonts w:hint="eastAsia" w:hAnsi="宋体"/>
          <w:color w:val="auto"/>
          <w:sz w:val="24"/>
          <w:szCs w:val="24"/>
          <w:highlight w:val="none"/>
        </w:rPr>
        <w:t>）的扣除，用扣除后的价格参加评审。</w:t>
      </w:r>
    </w:p>
    <w:p>
      <w:pPr>
        <w:shd w:val="clear" w:color="auto" w:fill="FFFFFF"/>
        <w:spacing w:line="360" w:lineRule="auto"/>
        <w:ind w:firstLine="480"/>
        <w:rPr>
          <w:rFonts w:hAnsi="宋体"/>
          <w:color w:val="auto"/>
          <w:sz w:val="24"/>
          <w:szCs w:val="24"/>
          <w:highlight w:val="none"/>
        </w:rPr>
      </w:pPr>
      <w:r>
        <w:rPr>
          <w:rFonts w:hint="eastAsia" w:hAnsi="宋体"/>
          <w:color w:val="auto"/>
          <w:sz w:val="24"/>
          <w:szCs w:val="24"/>
          <w:highlight w:val="none"/>
        </w:rPr>
        <w:t>适用招标投标法的政府采购工程建设项目，采用综合评估法但未采用低价优先法计算价格分的，评标时在采用原报价进行评分的基础上增加其价格得分的</w:t>
      </w:r>
      <w:r>
        <w:rPr>
          <w:rFonts w:hAnsi="宋体"/>
          <w:color w:val="auto"/>
          <w:sz w:val="24"/>
          <w:szCs w:val="24"/>
          <w:highlight w:val="none"/>
        </w:rPr>
        <w:t>1%</w:t>
      </w:r>
      <w:r>
        <w:rPr>
          <w:rFonts w:hint="eastAsia" w:hAnsi="宋体"/>
          <w:color w:val="auto"/>
          <w:sz w:val="24"/>
          <w:szCs w:val="24"/>
          <w:highlight w:val="none"/>
        </w:rPr>
        <w:t>作为其价格分。</w:t>
      </w:r>
    </w:p>
    <w:p>
      <w:pPr>
        <w:shd w:val="clear" w:color="auto" w:fill="FFFFFF"/>
        <w:spacing w:line="360" w:lineRule="auto"/>
        <w:ind w:firstLine="480"/>
        <w:rPr>
          <w:rFonts w:hAnsi="宋体"/>
          <w:color w:val="auto"/>
          <w:sz w:val="24"/>
          <w:szCs w:val="24"/>
          <w:highlight w:val="none"/>
        </w:rPr>
      </w:pPr>
      <w:r>
        <w:rPr>
          <w:rFonts w:hint="eastAsia" w:hAnsi="宋体"/>
          <w:color w:val="auto"/>
          <w:sz w:val="24"/>
          <w:szCs w:val="24"/>
          <w:highlight w:val="none"/>
        </w:rPr>
        <w:t>组成联合体或者接受分包的小微企业与联合体内其他企业、分包企业之间存在直接控股、管理关系的，不享受价格扣除优惠政策。</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18.2.3.3 投标人为工信部联企业〔2011〕300号文规定的小型和微型企业（含联合体）的，必须</w:t>
      </w:r>
      <w:bookmarkStart w:id="56" w:name="_Toc320093686"/>
      <w:r>
        <w:rPr>
          <w:rFonts w:hint="eastAsia" w:hAnsi="宋体"/>
          <w:color w:val="auto"/>
          <w:sz w:val="24"/>
          <w:szCs w:val="24"/>
          <w:highlight w:val="none"/>
        </w:rPr>
        <w:t>如实填写“中小企业声明函”（内容、格式见“财库〔2020〕46号”附1）</w:t>
      </w:r>
      <w:bookmarkEnd w:id="56"/>
      <w:r>
        <w:rPr>
          <w:rFonts w:hint="eastAsia" w:hAnsi="宋体"/>
          <w:color w:val="auto"/>
          <w:sz w:val="24"/>
          <w:szCs w:val="24"/>
          <w:highlight w:val="none"/>
        </w:rPr>
        <w:t>，否则不得享受相关中小企业扶持政策。</w:t>
      </w:r>
    </w:p>
    <w:p>
      <w:pPr>
        <w:spacing w:line="360" w:lineRule="auto"/>
        <w:ind w:firstLine="482" w:firstLineChars="200"/>
        <w:rPr>
          <w:rFonts w:hint="eastAsia" w:hAnsi="宋体"/>
          <w:color w:val="auto"/>
          <w:sz w:val="24"/>
          <w:szCs w:val="24"/>
          <w:highlight w:val="none"/>
        </w:rPr>
      </w:pPr>
      <w:r>
        <w:rPr>
          <w:rFonts w:hint="eastAsia" w:hAnsi="宋体"/>
          <w:b/>
          <w:bCs/>
          <w:color w:val="auto"/>
          <w:sz w:val="24"/>
          <w:szCs w:val="24"/>
          <w:highlight w:val="none"/>
        </w:rPr>
        <w:t>供应商提供《中小企业声明函》内容不实的，属于“隐瞒真实情况，提供虚假资料的”情形，依照有关规定追究相应责任。</w:t>
      </w:r>
    </w:p>
    <w:p>
      <w:pPr>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监狱企业</w:t>
      </w:r>
    </w:p>
    <w:p>
      <w:pPr>
        <w:shd w:val="clear" w:color="auto" w:fill="FFFFFF"/>
        <w:spacing w:line="360" w:lineRule="auto"/>
        <w:ind w:firstLine="480"/>
        <w:rPr>
          <w:rFonts w:hAnsi="宋体"/>
          <w:color w:val="auto"/>
          <w:sz w:val="24"/>
          <w:szCs w:val="24"/>
          <w:highlight w:val="none"/>
        </w:rPr>
      </w:pPr>
      <w:r>
        <w:rPr>
          <w:rFonts w:hint="eastAsia" w:hAnsi="宋体"/>
          <w:color w:val="auto"/>
          <w:sz w:val="24"/>
          <w:szCs w:val="24"/>
          <w:highlight w:val="none"/>
        </w:rPr>
        <w:t>18.2.3.4监狱企业视同小型、微型企业</w:t>
      </w:r>
      <w:r>
        <w:rPr>
          <w:rFonts w:hAnsi="宋体"/>
          <w:color w:val="auto"/>
          <w:sz w:val="24"/>
          <w:szCs w:val="24"/>
          <w:highlight w:val="none"/>
        </w:rPr>
        <w:t>，享受</w:t>
      </w:r>
      <w:r>
        <w:rPr>
          <w:rFonts w:hint="eastAsia" w:hAnsi="宋体"/>
          <w:color w:val="auto"/>
          <w:sz w:val="24"/>
          <w:szCs w:val="24"/>
          <w:highlight w:val="none"/>
        </w:rPr>
        <w:t>相同的</w:t>
      </w:r>
      <w:r>
        <w:rPr>
          <w:rFonts w:hAnsi="宋体"/>
          <w:color w:val="auto"/>
          <w:sz w:val="24"/>
          <w:szCs w:val="24"/>
          <w:highlight w:val="none"/>
        </w:rPr>
        <w:t>价格扣除</w:t>
      </w:r>
      <w:r>
        <w:rPr>
          <w:rFonts w:hint="eastAsia" w:hAnsi="宋体"/>
          <w:color w:val="auto"/>
          <w:sz w:val="24"/>
          <w:szCs w:val="24"/>
          <w:highlight w:val="none"/>
        </w:rPr>
        <w:t>优惠</w:t>
      </w:r>
      <w:r>
        <w:rPr>
          <w:rFonts w:hAnsi="宋体"/>
          <w:color w:val="auto"/>
          <w:sz w:val="24"/>
          <w:szCs w:val="24"/>
          <w:highlight w:val="none"/>
        </w:rPr>
        <w:t>政策</w:t>
      </w:r>
      <w:r>
        <w:rPr>
          <w:rFonts w:hint="eastAsia" w:hAnsi="宋体"/>
          <w:color w:val="auto"/>
          <w:sz w:val="24"/>
          <w:szCs w:val="24"/>
          <w:highlight w:val="none"/>
        </w:rPr>
        <w:t>；监狱企业</w:t>
      </w:r>
      <w:r>
        <w:rPr>
          <w:rFonts w:hAnsi="宋体"/>
          <w:color w:val="auto"/>
          <w:sz w:val="24"/>
          <w:szCs w:val="24"/>
          <w:highlight w:val="none"/>
        </w:rPr>
        <w:t>属于小型、微型企业的，不重复享受政策</w:t>
      </w:r>
      <w:r>
        <w:rPr>
          <w:rFonts w:hint="eastAsia" w:hAnsi="宋体"/>
          <w:color w:val="auto"/>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不得享受相关扶持政策。</w:t>
      </w:r>
    </w:p>
    <w:p>
      <w:pPr>
        <w:shd w:val="clear" w:color="auto" w:fill="FFFFFF"/>
        <w:spacing w:line="360" w:lineRule="auto"/>
        <w:ind w:firstLine="480"/>
        <w:rPr>
          <w:rFonts w:hAnsi="宋体"/>
          <w:b/>
          <w:color w:val="auto"/>
          <w:sz w:val="24"/>
          <w:szCs w:val="24"/>
          <w:highlight w:val="none"/>
        </w:rPr>
      </w:pPr>
      <w:r>
        <w:rPr>
          <w:rFonts w:hAnsi="宋体"/>
          <w:b/>
          <w:color w:val="auto"/>
          <w:sz w:val="24"/>
          <w:szCs w:val="24"/>
          <w:highlight w:val="none"/>
        </w:rPr>
        <w:t>残疾人福利性单位</w:t>
      </w:r>
    </w:p>
    <w:p>
      <w:pPr>
        <w:shd w:val="clear" w:color="auto" w:fill="FFFFFF"/>
        <w:spacing w:line="360" w:lineRule="auto"/>
        <w:ind w:firstLine="480"/>
        <w:rPr>
          <w:rFonts w:hAnsi="宋体"/>
          <w:color w:val="auto"/>
          <w:sz w:val="24"/>
          <w:szCs w:val="24"/>
          <w:highlight w:val="none"/>
        </w:rPr>
      </w:pPr>
      <w:r>
        <w:rPr>
          <w:rFonts w:hint="eastAsia" w:hAnsi="宋体"/>
          <w:color w:val="auto"/>
          <w:sz w:val="24"/>
          <w:szCs w:val="24"/>
          <w:highlight w:val="none"/>
        </w:rPr>
        <w:t>18.2.3.5</w:t>
      </w:r>
      <w:r>
        <w:rPr>
          <w:rFonts w:hAnsi="宋体"/>
          <w:color w:val="auto"/>
          <w:sz w:val="24"/>
          <w:szCs w:val="24"/>
          <w:highlight w:val="none"/>
        </w:rPr>
        <w:t>残疾人福利性单位视同小型、微型企业，享受</w:t>
      </w:r>
      <w:r>
        <w:rPr>
          <w:rFonts w:hint="eastAsia" w:hAnsi="宋体"/>
          <w:color w:val="auto"/>
          <w:sz w:val="24"/>
          <w:szCs w:val="24"/>
          <w:highlight w:val="none"/>
        </w:rPr>
        <w:t>相同的</w:t>
      </w:r>
      <w:r>
        <w:rPr>
          <w:rFonts w:hAnsi="宋体"/>
          <w:color w:val="auto"/>
          <w:sz w:val="24"/>
          <w:szCs w:val="24"/>
          <w:highlight w:val="none"/>
        </w:rPr>
        <w:t>价格扣除</w:t>
      </w:r>
      <w:r>
        <w:rPr>
          <w:rFonts w:hint="eastAsia" w:hAnsi="宋体"/>
          <w:color w:val="auto"/>
          <w:sz w:val="24"/>
          <w:szCs w:val="24"/>
          <w:highlight w:val="none"/>
        </w:rPr>
        <w:t>优惠</w:t>
      </w:r>
      <w:r>
        <w:rPr>
          <w:rFonts w:hAnsi="宋体"/>
          <w:color w:val="auto"/>
          <w:sz w:val="24"/>
          <w:szCs w:val="24"/>
          <w:highlight w:val="none"/>
        </w:rPr>
        <w:t>政策</w:t>
      </w:r>
      <w:r>
        <w:rPr>
          <w:rFonts w:hint="eastAsia" w:hAnsi="宋体"/>
          <w:color w:val="auto"/>
          <w:sz w:val="24"/>
          <w:szCs w:val="24"/>
          <w:highlight w:val="none"/>
        </w:rPr>
        <w:t>；</w:t>
      </w:r>
      <w:r>
        <w:rPr>
          <w:rFonts w:hAnsi="宋体"/>
          <w:color w:val="auto"/>
          <w:sz w:val="24"/>
          <w:szCs w:val="24"/>
          <w:highlight w:val="none"/>
        </w:rPr>
        <w:t>残疾人福利性单位属于小型、微型企业的，不重复享受政策。残疾人福利性单位</w:t>
      </w:r>
      <w:r>
        <w:rPr>
          <w:rFonts w:hint="eastAsia" w:hAnsi="宋体"/>
          <w:color w:val="auto"/>
          <w:sz w:val="24"/>
          <w:szCs w:val="24"/>
          <w:highlight w:val="none"/>
        </w:rPr>
        <w:t>的具体标准及要求见“关于促进残疾人就业政府采购政策的通知（财库〔2017〕141号）”。属于</w:t>
      </w:r>
      <w:r>
        <w:rPr>
          <w:rFonts w:hAnsi="宋体"/>
          <w:color w:val="auto"/>
          <w:sz w:val="24"/>
          <w:szCs w:val="24"/>
          <w:highlight w:val="none"/>
        </w:rPr>
        <w:t>残疾人福利性单位</w:t>
      </w:r>
      <w:r>
        <w:rPr>
          <w:rFonts w:hint="eastAsia" w:hAnsi="宋体"/>
          <w:color w:val="auto"/>
          <w:sz w:val="24"/>
          <w:szCs w:val="24"/>
          <w:highlight w:val="none"/>
        </w:rPr>
        <w:t>的，投标时需按照有关要求</w:t>
      </w:r>
      <w:r>
        <w:rPr>
          <w:rFonts w:hAnsi="宋体"/>
          <w:color w:val="auto"/>
          <w:sz w:val="24"/>
          <w:szCs w:val="24"/>
          <w:highlight w:val="none"/>
        </w:rPr>
        <w:t>提供</w:t>
      </w:r>
      <w:r>
        <w:rPr>
          <w:rFonts w:hint="eastAsia" w:hAnsi="宋体"/>
          <w:color w:val="auto"/>
          <w:sz w:val="24"/>
          <w:szCs w:val="24"/>
          <w:highlight w:val="none"/>
        </w:rPr>
        <w:t>规定的</w:t>
      </w:r>
      <w:r>
        <w:rPr>
          <w:rFonts w:hAnsi="宋体"/>
          <w:color w:val="auto"/>
          <w:sz w:val="24"/>
          <w:szCs w:val="24"/>
          <w:highlight w:val="none"/>
        </w:rPr>
        <w:t>《残疾人福利性单位声明函》（</w:t>
      </w:r>
      <w:r>
        <w:rPr>
          <w:rFonts w:hint="eastAsia" w:hAnsi="宋体"/>
          <w:color w:val="auto"/>
          <w:sz w:val="24"/>
          <w:szCs w:val="24"/>
          <w:highlight w:val="none"/>
        </w:rPr>
        <w:t>规定格式</w:t>
      </w:r>
      <w:r>
        <w:rPr>
          <w:rFonts w:hAnsi="宋体"/>
          <w:color w:val="auto"/>
          <w:sz w:val="24"/>
          <w:szCs w:val="24"/>
          <w:highlight w:val="none"/>
        </w:rPr>
        <w:t>见</w:t>
      </w:r>
      <w:r>
        <w:rPr>
          <w:rFonts w:hint="eastAsia" w:hAnsi="宋体"/>
          <w:color w:val="auto"/>
          <w:sz w:val="24"/>
          <w:szCs w:val="24"/>
          <w:highlight w:val="none"/>
        </w:rPr>
        <w:t>“财库〔2017〕141号”的附件</w:t>
      </w:r>
      <w:r>
        <w:rPr>
          <w:rFonts w:hAnsi="宋体"/>
          <w:color w:val="auto"/>
          <w:sz w:val="24"/>
          <w:szCs w:val="24"/>
          <w:highlight w:val="none"/>
        </w:rPr>
        <w:t>），并对声明的真实性负责</w:t>
      </w:r>
      <w:r>
        <w:rPr>
          <w:rFonts w:hint="eastAsia" w:hAnsi="宋体"/>
          <w:color w:val="auto"/>
          <w:sz w:val="24"/>
          <w:szCs w:val="24"/>
          <w:highlight w:val="none"/>
        </w:rPr>
        <w:t>，否则不得享受相关扶持政策</w:t>
      </w:r>
      <w:r>
        <w:rPr>
          <w:rFonts w:hAnsi="宋体"/>
          <w:color w:val="auto"/>
          <w:sz w:val="24"/>
          <w:szCs w:val="24"/>
          <w:highlight w:val="none"/>
        </w:rPr>
        <w:t>。</w:t>
      </w:r>
    </w:p>
    <w:p>
      <w:pPr>
        <w:shd w:val="clear" w:color="auto" w:fill="FFFFFF"/>
        <w:spacing w:line="360" w:lineRule="auto"/>
        <w:ind w:firstLine="480"/>
        <w:rPr>
          <w:rFonts w:hAnsi="宋体"/>
          <w:b/>
          <w:color w:val="auto"/>
          <w:sz w:val="24"/>
          <w:szCs w:val="24"/>
          <w:highlight w:val="none"/>
        </w:rPr>
      </w:pPr>
      <w:r>
        <w:rPr>
          <w:rFonts w:hint="eastAsia" w:hAnsi="宋体"/>
          <w:b/>
          <w:color w:val="auto"/>
          <w:sz w:val="24"/>
          <w:szCs w:val="24"/>
          <w:highlight w:val="none"/>
        </w:rPr>
        <w:t>如有虚假骗取政策性优惠，将依法承担相应责任。</w:t>
      </w:r>
    </w:p>
    <w:p>
      <w:pPr>
        <w:spacing w:line="220" w:lineRule="atLeast"/>
        <w:rPr>
          <w:rFonts w:hAnsi="宋体" w:cs="仿宋"/>
          <w:b/>
          <w:color w:val="auto"/>
          <w:sz w:val="28"/>
          <w:szCs w:val="28"/>
          <w:highlight w:val="none"/>
        </w:rPr>
      </w:pPr>
      <w:r>
        <w:rPr>
          <w:rFonts w:hAnsi="宋体" w:cs="仿宋"/>
          <w:b/>
          <w:color w:val="auto"/>
          <w:sz w:val="28"/>
          <w:szCs w:val="28"/>
          <w:highlight w:val="none"/>
        </w:rPr>
        <w:br w:type="page"/>
      </w:r>
      <w:r>
        <w:rPr>
          <w:rFonts w:hint="eastAsia" w:hAnsi="宋体" w:cs="仿宋"/>
          <w:b/>
          <w:color w:val="auto"/>
          <w:sz w:val="28"/>
          <w:szCs w:val="28"/>
          <w:highlight w:val="none"/>
        </w:rPr>
        <w:t>（财库〔2020〕46号）附</w:t>
      </w:r>
      <w:r>
        <w:rPr>
          <w:rFonts w:hAnsi="宋体" w:cs="仿宋"/>
          <w:b/>
          <w:color w:val="auto"/>
          <w:sz w:val="28"/>
          <w:szCs w:val="28"/>
          <w:highlight w:val="none"/>
        </w:rPr>
        <w:t>1</w:t>
      </w:r>
    </w:p>
    <w:p>
      <w:pPr>
        <w:autoSpaceDE w:val="0"/>
        <w:autoSpaceDN w:val="0"/>
        <w:spacing w:line="360" w:lineRule="auto"/>
        <w:ind w:firstLine="422" w:firstLineChars="200"/>
        <w:jc w:val="center"/>
        <w:rPr>
          <w:rFonts w:hint="eastAsia" w:hAnsi="宋体" w:cs="宋体"/>
          <w:b/>
          <w:color w:val="auto"/>
          <w:sz w:val="21"/>
          <w:szCs w:val="21"/>
          <w:highlight w:val="none"/>
        </w:rPr>
      </w:pPr>
    </w:p>
    <w:p>
      <w:pPr>
        <w:autoSpaceDE w:val="0"/>
        <w:autoSpaceDN w:val="0"/>
        <w:spacing w:line="360" w:lineRule="auto"/>
        <w:ind w:firstLine="482" w:firstLineChars="200"/>
        <w:jc w:val="center"/>
        <w:rPr>
          <w:rFonts w:hint="eastAsia" w:hAnsi="宋体" w:cs="宋体"/>
          <w:b/>
          <w:color w:val="auto"/>
          <w:sz w:val="24"/>
          <w:szCs w:val="24"/>
          <w:highlight w:val="none"/>
        </w:rPr>
      </w:pPr>
      <w:r>
        <w:rPr>
          <w:rFonts w:hint="eastAsia" w:hAnsi="宋体" w:cs="宋体"/>
          <w:b/>
          <w:color w:val="auto"/>
          <w:sz w:val="24"/>
          <w:szCs w:val="24"/>
          <w:highlight w:val="none"/>
        </w:rPr>
        <w:t>中小企业声明函（货物）</w:t>
      </w:r>
    </w:p>
    <w:p>
      <w:pPr>
        <w:autoSpaceDE w:val="0"/>
        <w:autoSpaceDN w:val="0"/>
        <w:spacing w:line="360" w:lineRule="auto"/>
        <w:ind w:firstLine="482" w:firstLineChars="200"/>
        <w:jc w:val="center"/>
        <w:rPr>
          <w:rFonts w:hAnsi="宋体" w:cs="宋体"/>
          <w:b/>
          <w:color w:val="auto"/>
          <w:sz w:val="24"/>
          <w:szCs w:val="24"/>
          <w:highlight w:val="none"/>
        </w:rPr>
      </w:pPr>
    </w:p>
    <w:p>
      <w:pPr>
        <w:autoSpaceDE w:val="0"/>
        <w:autoSpaceDN w:val="0"/>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本公司（联合体）郑重声明，根据《政府采购促进中小企业发展管理办法》（财库</w:t>
      </w:r>
      <w:r>
        <w:rPr>
          <w:rFonts w:hint="eastAsia" w:hAnsi="宋体" w:cs="宋体"/>
          <w:color w:val="auto"/>
          <w:sz w:val="24"/>
          <w:szCs w:val="24"/>
          <w:highlight w:val="none"/>
        </w:rPr>
        <w:t>﹝</w:t>
      </w:r>
      <w:r>
        <w:rPr>
          <w:rFonts w:hAnsi="宋体" w:cs="仿宋"/>
          <w:color w:val="auto"/>
          <w:sz w:val="24"/>
          <w:szCs w:val="24"/>
          <w:highlight w:val="none"/>
        </w:rPr>
        <w:t>2020</w:t>
      </w:r>
      <w:r>
        <w:rPr>
          <w:rFonts w:hint="eastAsia" w:hAnsi="宋体" w:cs="宋体"/>
          <w:color w:val="auto"/>
          <w:sz w:val="24"/>
          <w:szCs w:val="24"/>
          <w:highlight w:val="none"/>
        </w:rPr>
        <w:t>﹞</w:t>
      </w:r>
      <w:r>
        <w:rPr>
          <w:rFonts w:hAnsi="宋体" w:cs="仿宋"/>
          <w:color w:val="auto"/>
          <w:sz w:val="24"/>
          <w:szCs w:val="24"/>
          <w:highlight w:val="none"/>
        </w:rPr>
        <w:t xml:space="preserve">46 </w:t>
      </w:r>
      <w:r>
        <w:rPr>
          <w:rFonts w:hint="eastAsia" w:hAnsi="宋体" w:cs="仿宋"/>
          <w:color w:val="auto"/>
          <w:sz w:val="24"/>
          <w:szCs w:val="24"/>
          <w:highlight w:val="none"/>
        </w:rPr>
        <w:t>号）的规定，本公司（联合体）参加</w:t>
      </w:r>
      <w:r>
        <w:rPr>
          <w:rFonts w:hint="eastAsia" w:hAnsi="宋体" w:cs="仿宋"/>
          <w:i/>
          <w:color w:val="auto"/>
          <w:sz w:val="24"/>
          <w:szCs w:val="24"/>
          <w:highlight w:val="none"/>
          <w:u w:val="single"/>
        </w:rPr>
        <w:t>（单位名称）</w:t>
      </w:r>
      <w:r>
        <w:rPr>
          <w:rFonts w:hint="eastAsia" w:hAnsi="宋体" w:cs="仿宋"/>
          <w:color w:val="auto"/>
          <w:sz w:val="24"/>
          <w:szCs w:val="24"/>
          <w:highlight w:val="none"/>
        </w:rPr>
        <w:t>的</w:t>
      </w:r>
      <w:r>
        <w:rPr>
          <w:rFonts w:hint="eastAsia" w:hAnsi="宋体" w:cs="仿宋"/>
          <w:i/>
          <w:color w:val="auto"/>
          <w:sz w:val="24"/>
          <w:szCs w:val="24"/>
          <w:highlight w:val="none"/>
          <w:u w:val="single"/>
        </w:rPr>
        <w:t>（项目名称）</w:t>
      </w:r>
      <w:r>
        <w:rPr>
          <w:rFonts w:hint="eastAsia" w:hAnsi="宋体" w:cs="仿宋"/>
          <w:color w:val="auto"/>
          <w:sz w:val="24"/>
          <w:szCs w:val="24"/>
          <w:highlight w:val="none"/>
        </w:rPr>
        <w:t>采购活动，提供的货物全部由符合政策要求的中小企业制造。相关企业（含联合体中的中小企业、签订分包意向协议的中小企业）的具体情况如下：</w:t>
      </w:r>
    </w:p>
    <w:p>
      <w:pPr>
        <w:autoSpaceDE w:val="0"/>
        <w:autoSpaceDN w:val="0"/>
        <w:spacing w:line="360" w:lineRule="auto"/>
        <w:ind w:firstLine="480" w:firstLineChars="200"/>
        <w:rPr>
          <w:rFonts w:hAnsi="宋体" w:cs="仿宋"/>
          <w:color w:val="auto"/>
          <w:sz w:val="24"/>
          <w:szCs w:val="24"/>
          <w:highlight w:val="none"/>
        </w:rPr>
      </w:pPr>
      <w:r>
        <w:rPr>
          <w:rFonts w:hAnsi="宋体" w:cs="仿宋"/>
          <w:color w:val="auto"/>
          <w:sz w:val="24"/>
          <w:szCs w:val="24"/>
          <w:highlight w:val="none"/>
        </w:rPr>
        <w:t>1.</w:t>
      </w:r>
      <w:r>
        <w:rPr>
          <w:rFonts w:hAnsi="宋体" w:cs="仿宋"/>
          <w:i/>
          <w:color w:val="auto"/>
          <w:sz w:val="24"/>
          <w:szCs w:val="24"/>
          <w:highlight w:val="none"/>
          <w:u w:val="single"/>
        </w:rPr>
        <w:t xml:space="preserve"> </w:t>
      </w:r>
      <w:r>
        <w:rPr>
          <w:rFonts w:hint="eastAsia" w:hAnsi="宋体" w:cs="仿宋"/>
          <w:i/>
          <w:color w:val="auto"/>
          <w:sz w:val="24"/>
          <w:szCs w:val="24"/>
          <w:highlight w:val="none"/>
          <w:u w:val="single"/>
        </w:rPr>
        <w:t>（标的名称）</w:t>
      </w:r>
      <w:r>
        <w:rPr>
          <w:rFonts w:hAnsi="宋体" w:cs="仿宋"/>
          <w:i/>
          <w:color w:val="auto"/>
          <w:sz w:val="24"/>
          <w:szCs w:val="24"/>
          <w:highlight w:val="none"/>
          <w:u w:val="single"/>
        </w:rPr>
        <w:t xml:space="preserve"> </w:t>
      </w:r>
      <w:r>
        <w:rPr>
          <w:rFonts w:hint="eastAsia" w:hAnsi="宋体" w:cs="仿宋"/>
          <w:color w:val="auto"/>
          <w:sz w:val="24"/>
          <w:szCs w:val="24"/>
          <w:highlight w:val="none"/>
        </w:rPr>
        <w:t>，属于</w:t>
      </w:r>
      <w:r>
        <w:rPr>
          <w:rFonts w:hint="eastAsia" w:hAnsi="宋体" w:cs="仿宋"/>
          <w:i/>
          <w:color w:val="auto"/>
          <w:sz w:val="24"/>
          <w:szCs w:val="24"/>
          <w:highlight w:val="none"/>
          <w:u w:val="single"/>
        </w:rPr>
        <w:t>（采购文件中明确的所属行业）行业</w:t>
      </w:r>
      <w:r>
        <w:rPr>
          <w:rFonts w:hint="eastAsia" w:hAnsi="宋体" w:cs="仿宋"/>
          <w:color w:val="auto"/>
          <w:sz w:val="24"/>
          <w:szCs w:val="24"/>
          <w:highlight w:val="none"/>
        </w:rPr>
        <w:t>；制造商为</w:t>
      </w:r>
      <w:r>
        <w:rPr>
          <w:rFonts w:hint="eastAsia" w:hAnsi="宋体" w:cs="仿宋"/>
          <w:i/>
          <w:color w:val="auto"/>
          <w:sz w:val="24"/>
          <w:szCs w:val="24"/>
          <w:highlight w:val="none"/>
          <w:u w:val="single"/>
        </w:rPr>
        <w:t>（企业名称）</w:t>
      </w:r>
      <w:r>
        <w:rPr>
          <w:rFonts w:hint="eastAsia" w:hAnsi="宋体" w:cs="仿宋"/>
          <w:color w:val="auto"/>
          <w:sz w:val="24"/>
          <w:szCs w:val="24"/>
          <w:highlight w:val="none"/>
        </w:rPr>
        <w:t>，从业人员</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人，营业收入为</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万元，资产总额为</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万元</w:t>
      </w:r>
      <w:r>
        <w:rPr>
          <w:rFonts w:hAnsi="宋体" w:cs="仿宋"/>
          <w:color w:val="auto"/>
          <w:sz w:val="24"/>
          <w:szCs w:val="24"/>
          <w:highlight w:val="none"/>
          <w:vertAlign w:val="superscript"/>
        </w:rPr>
        <w:t>1</w:t>
      </w:r>
      <w:r>
        <w:rPr>
          <w:rFonts w:hint="eastAsia" w:hAnsi="宋体" w:cs="仿宋"/>
          <w:color w:val="auto"/>
          <w:sz w:val="24"/>
          <w:szCs w:val="24"/>
          <w:highlight w:val="none"/>
        </w:rPr>
        <w:t>，属于</w:t>
      </w:r>
      <w:r>
        <w:rPr>
          <w:rFonts w:hint="eastAsia" w:hAnsi="宋体" w:cs="仿宋"/>
          <w:i/>
          <w:color w:val="auto"/>
          <w:sz w:val="24"/>
          <w:szCs w:val="24"/>
          <w:highlight w:val="none"/>
          <w:u w:val="single"/>
        </w:rPr>
        <w:t>（中型企业、小型企业、微型企业）</w:t>
      </w:r>
      <w:r>
        <w:rPr>
          <w:rFonts w:hint="eastAsia" w:hAnsi="宋体" w:cs="仿宋"/>
          <w:color w:val="auto"/>
          <w:sz w:val="24"/>
          <w:szCs w:val="24"/>
          <w:highlight w:val="none"/>
        </w:rPr>
        <w:t>；</w:t>
      </w:r>
    </w:p>
    <w:p>
      <w:pPr>
        <w:autoSpaceDE w:val="0"/>
        <w:autoSpaceDN w:val="0"/>
        <w:spacing w:line="360" w:lineRule="auto"/>
        <w:ind w:firstLine="480" w:firstLineChars="200"/>
        <w:rPr>
          <w:rFonts w:hAnsi="宋体" w:cs="仿宋"/>
          <w:color w:val="auto"/>
          <w:sz w:val="24"/>
          <w:szCs w:val="24"/>
          <w:highlight w:val="none"/>
        </w:rPr>
      </w:pPr>
      <w:r>
        <w:rPr>
          <w:rFonts w:hAnsi="宋体" w:cs="仿宋"/>
          <w:color w:val="auto"/>
          <w:sz w:val="24"/>
          <w:szCs w:val="24"/>
          <w:highlight w:val="none"/>
        </w:rPr>
        <w:t>2.</w:t>
      </w:r>
      <w:r>
        <w:rPr>
          <w:rFonts w:hAnsi="宋体" w:cs="仿宋"/>
          <w:i/>
          <w:color w:val="auto"/>
          <w:sz w:val="24"/>
          <w:szCs w:val="24"/>
          <w:highlight w:val="none"/>
          <w:u w:val="single"/>
        </w:rPr>
        <w:t xml:space="preserve"> </w:t>
      </w:r>
      <w:r>
        <w:rPr>
          <w:rFonts w:hint="eastAsia" w:hAnsi="宋体" w:cs="仿宋"/>
          <w:i/>
          <w:color w:val="auto"/>
          <w:sz w:val="24"/>
          <w:szCs w:val="24"/>
          <w:highlight w:val="none"/>
          <w:u w:val="single"/>
        </w:rPr>
        <w:t>（标的名称）</w:t>
      </w:r>
      <w:r>
        <w:rPr>
          <w:rFonts w:hAnsi="宋体" w:cs="仿宋"/>
          <w:i/>
          <w:color w:val="auto"/>
          <w:sz w:val="24"/>
          <w:szCs w:val="24"/>
          <w:highlight w:val="none"/>
          <w:u w:val="single"/>
        </w:rPr>
        <w:t xml:space="preserve"> </w:t>
      </w:r>
      <w:r>
        <w:rPr>
          <w:rFonts w:hint="eastAsia" w:hAnsi="宋体" w:cs="仿宋"/>
          <w:color w:val="auto"/>
          <w:sz w:val="24"/>
          <w:szCs w:val="24"/>
          <w:highlight w:val="none"/>
        </w:rPr>
        <w:t>，属于</w:t>
      </w:r>
      <w:r>
        <w:rPr>
          <w:rFonts w:hint="eastAsia" w:hAnsi="宋体" w:cs="仿宋"/>
          <w:i/>
          <w:color w:val="auto"/>
          <w:sz w:val="24"/>
          <w:szCs w:val="24"/>
          <w:highlight w:val="none"/>
          <w:u w:val="single"/>
        </w:rPr>
        <w:t>（采购文件中明确的所属行业）</w:t>
      </w:r>
      <w:r>
        <w:rPr>
          <w:rFonts w:hint="eastAsia" w:hAnsi="宋体" w:cs="仿宋"/>
          <w:color w:val="auto"/>
          <w:sz w:val="24"/>
          <w:szCs w:val="24"/>
          <w:highlight w:val="none"/>
        </w:rPr>
        <w:t>行业；制造商为</w:t>
      </w:r>
      <w:r>
        <w:rPr>
          <w:rFonts w:hint="eastAsia" w:hAnsi="宋体" w:cs="仿宋"/>
          <w:i/>
          <w:color w:val="auto"/>
          <w:sz w:val="24"/>
          <w:szCs w:val="24"/>
          <w:highlight w:val="none"/>
          <w:u w:val="single"/>
        </w:rPr>
        <w:t>（企业名称）</w:t>
      </w:r>
      <w:r>
        <w:rPr>
          <w:rFonts w:hint="eastAsia" w:hAnsi="宋体" w:cs="仿宋"/>
          <w:color w:val="auto"/>
          <w:sz w:val="24"/>
          <w:szCs w:val="24"/>
          <w:highlight w:val="none"/>
        </w:rPr>
        <w:t>，从业人员</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人，营业收入为</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万元，资产总额为</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万元，属于</w:t>
      </w:r>
      <w:r>
        <w:rPr>
          <w:rFonts w:hint="eastAsia" w:hAnsi="宋体" w:cs="仿宋"/>
          <w:i/>
          <w:color w:val="auto"/>
          <w:sz w:val="24"/>
          <w:szCs w:val="24"/>
          <w:highlight w:val="none"/>
          <w:u w:val="single"/>
        </w:rPr>
        <w:t>（中型企业、小型企业、微型企业）</w:t>
      </w:r>
      <w:r>
        <w:rPr>
          <w:rFonts w:hint="eastAsia" w:hAnsi="宋体" w:cs="仿宋"/>
          <w:color w:val="auto"/>
          <w:sz w:val="24"/>
          <w:szCs w:val="24"/>
          <w:highlight w:val="none"/>
        </w:rPr>
        <w:t>；</w:t>
      </w:r>
    </w:p>
    <w:p>
      <w:pPr>
        <w:autoSpaceDE w:val="0"/>
        <w:autoSpaceDN w:val="0"/>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w:t>
      </w:r>
    </w:p>
    <w:p>
      <w:pPr>
        <w:autoSpaceDE w:val="0"/>
        <w:autoSpaceDN w:val="0"/>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以上企业，不属于大企业的分支机构，不存在控股股东为大企业的情形，也不存在与大企业的负责人为同一人的情形。</w:t>
      </w:r>
    </w:p>
    <w:p>
      <w:pPr>
        <w:autoSpaceDE w:val="0"/>
        <w:autoSpaceDN w:val="0"/>
        <w:spacing w:line="360" w:lineRule="auto"/>
        <w:ind w:firstLine="480" w:firstLineChars="200"/>
        <w:rPr>
          <w:rFonts w:hint="eastAsia" w:hAnsi="宋体" w:cs="仿宋"/>
          <w:color w:val="auto"/>
          <w:sz w:val="24"/>
          <w:szCs w:val="24"/>
          <w:highlight w:val="none"/>
        </w:rPr>
      </w:pPr>
      <w:r>
        <w:rPr>
          <w:rFonts w:hint="eastAsia" w:hAnsi="宋体" w:cs="仿宋"/>
          <w:color w:val="auto"/>
          <w:sz w:val="24"/>
          <w:szCs w:val="24"/>
          <w:highlight w:val="none"/>
        </w:rPr>
        <w:t>本企业对上述声明内容的真实性负责。如有虚假，将依法承担相应责任。</w:t>
      </w:r>
    </w:p>
    <w:p>
      <w:pPr>
        <w:autoSpaceDE w:val="0"/>
        <w:autoSpaceDN w:val="0"/>
        <w:spacing w:line="360" w:lineRule="auto"/>
        <w:ind w:firstLine="480" w:firstLineChars="200"/>
        <w:rPr>
          <w:rFonts w:hAnsi="宋体" w:cs="仿宋"/>
          <w:color w:val="auto"/>
          <w:sz w:val="24"/>
          <w:szCs w:val="24"/>
          <w:highlight w:val="none"/>
        </w:rPr>
      </w:pPr>
    </w:p>
    <w:p>
      <w:pPr>
        <w:autoSpaceDE w:val="0"/>
        <w:autoSpaceDN w:val="0"/>
        <w:spacing w:line="360" w:lineRule="auto"/>
        <w:ind w:left="5440" w:leftChars="1600" w:firstLine="480" w:firstLineChars="200"/>
        <w:rPr>
          <w:rFonts w:hint="eastAsia" w:hAnsi="宋体" w:cs="仿宋"/>
          <w:color w:val="auto"/>
          <w:sz w:val="24"/>
          <w:szCs w:val="24"/>
          <w:highlight w:val="none"/>
        </w:rPr>
      </w:pPr>
      <w:r>
        <w:rPr>
          <w:rFonts w:hint="eastAsia" w:hAnsi="宋体" w:cs="仿宋"/>
          <w:color w:val="auto"/>
          <w:sz w:val="24"/>
          <w:szCs w:val="24"/>
          <w:highlight w:val="none"/>
        </w:rPr>
        <w:t>企业名称（盖章）：</w:t>
      </w:r>
    </w:p>
    <w:p>
      <w:pPr>
        <w:autoSpaceDE w:val="0"/>
        <w:autoSpaceDN w:val="0"/>
        <w:spacing w:line="360" w:lineRule="auto"/>
        <w:ind w:left="5440" w:leftChars="1600" w:firstLine="480" w:firstLineChars="200"/>
        <w:rPr>
          <w:rFonts w:hAnsi="宋体" w:cs="仿宋"/>
          <w:color w:val="auto"/>
          <w:sz w:val="24"/>
          <w:szCs w:val="24"/>
          <w:highlight w:val="none"/>
        </w:rPr>
      </w:pPr>
    </w:p>
    <w:p>
      <w:pPr>
        <w:autoSpaceDE w:val="0"/>
        <w:autoSpaceDN w:val="0"/>
        <w:spacing w:line="360" w:lineRule="auto"/>
        <w:ind w:left="5440" w:leftChars="1600" w:firstLine="480" w:firstLineChars="200"/>
        <w:rPr>
          <w:rFonts w:hAnsi="宋体" w:cs="仿宋"/>
          <w:color w:val="auto"/>
          <w:sz w:val="24"/>
          <w:szCs w:val="24"/>
          <w:highlight w:val="none"/>
        </w:rPr>
      </w:pPr>
      <w:r>
        <w:rPr>
          <w:rFonts w:hint="eastAsia" w:hAnsi="宋体" w:cs="仿宋"/>
          <w:color w:val="auto"/>
          <w:sz w:val="24"/>
          <w:szCs w:val="24"/>
          <w:highlight w:val="none"/>
        </w:rPr>
        <w:t>日期：</w:t>
      </w:r>
    </w:p>
    <w:p>
      <w:pPr>
        <w:autoSpaceDE w:val="0"/>
        <w:autoSpaceDN w:val="0"/>
        <w:spacing w:line="360" w:lineRule="auto"/>
        <w:ind w:firstLine="480" w:firstLineChars="200"/>
        <w:rPr>
          <w:rFonts w:hAnsi="宋体" w:cs="TimesNewRomanPSMT"/>
          <w:color w:val="auto"/>
          <w:sz w:val="24"/>
          <w:szCs w:val="24"/>
          <w:highlight w:val="none"/>
          <w:u w:val="single"/>
        </w:rPr>
      </w:pPr>
      <w:r>
        <w:rPr>
          <w:rFonts w:hAnsi="宋体" w:cs="TimesNewRomanPSMT"/>
          <w:color w:val="auto"/>
          <w:sz w:val="24"/>
          <w:szCs w:val="24"/>
          <w:highlight w:val="none"/>
          <w:u w:val="single"/>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228600</wp:posOffset>
                </wp:positionV>
                <wp:extent cx="359664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5966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8pt;height:0pt;width:283.2pt;z-index:251661312;mso-width-relative:page;mso-height-relative:page;" filled="f" stroked="t" coordsize="21600,21600" o:gfxdata="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eKUltYAAAAHAQAADwAAAAAAAAABACAAAAAiAAAAZHJzL2Rvd25yZXYu&#10;eG1sUEsBAhQAFAAAAAgAh07iQI6ygJD9AQAA7AMAAA4AAAAAAAAAAQAgAAAAJQEAAGRycy9lMm9E&#10;b2MueG1sUEsFBgAAAAAGAAYAWQEAAJQFAAAAAA==&#10;">
                <v:fill on="f" focussize="0,0"/>
                <v:stroke color="#000000" joinstyle="round"/>
                <v:imagedata o:title=""/>
                <o:lock v:ext="edit" aspectratio="f"/>
              </v:shape>
            </w:pict>
          </mc:Fallback>
        </mc:AlternateContent>
      </w:r>
    </w:p>
    <w:p>
      <w:pPr>
        <w:autoSpaceDE w:val="0"/>
        <w:autoSpaceDN w:val="0"/>
        <w:spacing w:line="360" w:lineRule="auto"/>
        <w:rPr>
          <w:rFonts w:hAnsi="宋体" w:cs="宋体"/>
          <w:color w:val="auto"/>
          <w:szCs w:val="28"/>
          <w:highlight w:val="none"/>
        </w:rPr>
      </w:pPr>
      <w:r>
        <w:rPr>
          <w:rFonts w:hAnsi="宋体" w:cs="仿宋"/>
          <w:color w:val="auto"/>
          <w:sz w:val="28"/>
          <w:szCs w:val="28"/>
          <w:highlight w:val="none"/>
          <w:vertAlign w:val="superscript"/>
        </w:rPr>
        <w:t>1</w:t>
      </w:r>
      <w:r>
        <w:rPr>
          <w:rFonts w:hint="eastAsia" w:hAnsi="宋体" w:cs="宋体"/>
          <w:color w:val="auto"/>
          <w:sz w:val="20"/>
          <w:szCs w:val="24"/>
          <w:highlight w:val="none"/>
        </w:rPr>
        <w:t>从业人员、营业收入、资产总额填报上一年度数据，无上一年度数据的新成立企业可不填报。</w:t>
      </w:r>
    </w:p>
    <w:p>
      <w:pPr>
        <w:spacing w:line="220" w:lineRule="atLeast"/>
        <w:jc w:val="center"/>
        <w:rPr>
          <w:rFonts w:hAnsi="宋体" w:cs="宋体"/>
          <w:b/>
          <w:color w:val="auto"/>
          <w:sz w:val="36"/>
          <w:szCs w:val="24"/>
          <w:highlight w:val="none"/>
        </w:rPr>
      </w:pPr>
      <w:r>
        <w:rPr>
          <w:rFonts w:hAnsi="宋体" w:cs="宋体"/>
          <w:b/>
          <w:color w:val="auto"/>
          <w:sz w:val="36"/>
          <w:szCs w:val="24"/>
          <w:highlight w:val="none"/>
        </w:rPr>
        <w:br w:type="page"/>
      </w:r>
      <w:r>
        <w:rPr>
          <w:rFonts w:hint="eastAsia" w:ascii="宋体" w:hAnsi="宋体" w:eastAsia="宋体" w:cs="宋体"/>
          <w:b/>
          <w:color w:val="auto"/>
          <w:sz w:val="24"/>
          <w:szCs w:val="24"/>
          <w:highlight w:val="none"/>
        </w:rPr>
        <w:t>中小企业声明函（工程、服务）</w:t>
      </w:r>
    </w:p>
    <w:p>
      <w:pPr>
        <w:autoSpaceDE w:val="0"/>
        <w:autoSpaceDN w:val="0"/>
        <w:spacing w:line="360" w:lineRule="auto"/>
        <w:ind w:firstLine="560" w:firstLineChars="200"/>
        <w:rPr>
          <w:rFonts w:hint="eastAsia" w:hAnsi="宋体" w:cs="仿宋"/>
          <w:color w:val="auto"/>
          <w:sz w:val="28"/>
          <w:szCs w:val="28"/>
          <w:highlight w:val="none"/>
        </w:rPr>
      </w:pPr>
    </w:p>
    <w:p>
      <w:pPr>
        <w:autoSpaceDE w:val="0"/>
        <w:autoSpaceDN w:val="0"/>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本公司（联合体）郑重声明，根据《政府采购促进中小企业发展管理办法》（财库</w:t>
      </w:r>
      <w:r>
        <w:rPr>
          <w:rFonts w:hint="eastAsia" w:hAnsi="宋体" w:cs="宋体"/>
          <w:color w:val="auto"/>
          <w:sz w:val="24"/>
          <w:szCs w:val="24"/>
          <w:highlight w:val="none"/>
        </w:rPr>
        <w:t>﹝</w:t>
      </w:r>
      <w:r>
        <w:rPr>
          <w:rFonts w:hAnsi="宋体" w:cs="仿宋"/>
          <w:color w:val="auto"/>
          <w:sz w:val="24"/>
          <w:szCs w:val="24"/>
          <w:highlight w:val="none"/>
        </w:rPr>
        <w:t>2020</w:t>
      </w:r>
      <w:r>
        <w:rPr>
          <w:rFonts w:hint="eastAsia" w:hAnsi="宋体" w:cs="宋体"/>
          <w:color w:val="auto"/>
          <w:sz w:val="24"/>
          <w:szCs w:val="24"/>
          <w:highlight w:val="none"/>
        </w:rPr>
        <w:t>﹞</w:t>
      </w:r>
      <w:r>
        <w:rPr>
          <w:rFonts w:hAnsi="宋体" w:cs="仿宋"/>
          <w:color w:val="auto"/>
          <w:sz w:val="24"/>
          <w:szCs w:val="24"/>
          <w:highlight w:val="none"/>
        </w:rPr>
        <w:t xml:space="preserve">46 </w:t>
      </w:r>
      <w:r>
        <w:rPr>
          <w:rFonts w:hint="eastAsia" w:hAnsi="宋体" w:cs="仿宋"/>
          <w:color w:val="auto"/>
          <w:sz w:val="24"/>
          <w:szCs w:val="24"/>
          <w:highlight w:val="none"/>
        </w:rPr>
        <w:t>号）的规定，本公司（联合体）参加</w:t>
      </w:r>
      <w:r>
        <w:rPr>
          <w:rFonts w:hint="eastAsia" w:hAnsi="宋体" w:cs="仿宋"/>
          <w:i/>
          <w:color w:val="auto"/>
          <w:sz w:val="24"/>
          <w:szCs w:val="24"/>
          <w:highlight w:val="none"/>
          <w:u w:val="single"/>
        </w:rPr>
        <w:t>（单位名称）</w:t>
      </w:r>
      <w:r>
        <w:rPr>
          <w:rFonts w:hint="eastAsia" w:hAnsi="宋体" w:cs="仿宋"/>
          <w:color w:val="auto"/>
          <w:sz w:val="24"/>
          <w:szCs w:val="24"/>
          <w:highlight w:val="none"/>
        </w:rPr>
        <w:t>的</w:t>
      </w:r>
      <w:r>
        <w:rPr>
          <w:rFonts w:hint="eastAsia" w:hAnsi="宋体" w:cs="仿宋"/>
          <w:i/>
          <w:color w:val="auto"/>
          <w:sz w:val="24"/>
          <w:szCs w:val="24"/>
          <w:highlight w:val="none"/>
          <w:u w:val="single"/>
        </w:rPr>
        <w:t>（项目名称）</w:t>
      </w:r>
      <w:r>
        <w:rPr>
          <w:rFonts w:hint="eastAsia" w:hAnsi="宋体"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spacing w:line="360" w:lineRule="auto"/>
        <w:ind w:firstLine="480" w:firstLineChars="200"/>
        <w:rPr>
          <w:rFonts w:hAnsi="宋体" w:cs="仿宋"/>
          <w:color w:val="auto"/>
          <w:sz w:val="24"/>
          <w:szCs w:val="24"/>
          <w:highlight w:val="none"/>
        </w:rPr>
      </w:pPr>
      <w:r>
        <w:rPr>
          <w:rFonts w:hAnsi="宋体" w:cs="仿宋"/>
          <w:color w:val="auto"/>
          <w:sz w:val="24"/>
          <w:szCs w:val="24"/>
          <w:highlight w:val="none"/>
        </w:rPr>
        <w:t xml:space="preserve">1. </w:t>
      </w:r>
      <w:r>
        <w:rPr>
          <w:rFonts w:hint="eastAsia" w:hAnsi="宋体" w:cs="仿宋"/>
          <w:i/>
          <w:color w:val="auto"/>
          <w:sz w:val="24"/>
          <w:szCs w:val="24"/>
          <w:highlight w:val="none"/>
          <w:u w:val="single"/>
        </w:rPr>
        <w:t>（标的名称）</w:t>
      </w:r>
      <w:r>
        <w:rPr>
          <w:rFonts w:hAnsi="宋体" w:cs="仿宋"/>
          <w:i/>
          <w:color w:val="auto"/>
          <w:sz w:val="24"/>
          <w:szCs w:val="24"/>
          <w:highlight w:val="none"/>
          <w:u w:val="single"/>
        </w:rPr>
        <w:t xml:space="preserve"> </w:t>
      </w:r>
      <w:r>
        <w:rPr>
          <w:rFonts w:hint="eastAsia" w:hAnsi="宋体" w:cs="仿宋"/>
          <w:color w:val="auto"/>
          <w:sz w:val="24"/>
          <w:szCs w:val="24"/>
          <w:highlight w:val="none"/>
        </w:rPr>
        <w:t>，属于</w:t>
      </w:r>
      <w:r>
        <w:rPr>
          <w:rFonts w:hint="eastAsia" w:hAnsi="宋体" w:cs="仿宋"/>
          <w:i/>
          <w:color w:val="auto"/>
          <w:sz w:val="24"/>
          <w:szCs w:val="24"/>
          <w:highlight w:val="none"/>
          <w:u w:val="single"/>
        </w:rPr>
        <w:t>（采购文件中明确的所属行业）</w:t>
      </w:r>
      <w:r>
        <w:rPr>
          <w:rFonts w:hint="eastAsia" w:hAnsi="宋体" w:cs="仿宋"/>
          <w:color w:val="auto"/>
          <w:sz w:val="24"/>
          <w:szCs w:val="24"/>
          <w:highlight w:val="none"/>
        </w:rPr>
        <w:t>；承建（承接）企业为</w:t>
      </w:r>
      <w:r>
        <w:rPr>
          <w:rFonts w:hint="eastAsia" w:hAnsi="宋体" w:cs="仿宋"/>
          <w:i/>
          <w:color w:val="auto"/>
          <w:sz w:val="24"/>
          <w:szCs w:val="24"/>
          <w:highlight w:val="none"/>
          <w:u w:val="single"/>
        </w:rPr>
        <w:t>（企业名称）</w:t>
      </w:r>
      <w:r>
        <w:rPr>
          <w:rFonts w:hint="eastAsia" w:hAnsi="宋体" w:cs="仿宋"/>
          <w:color w:val="auto"/>
          <w:sz w:val="24"/>
          <w:szCs w:val="24"/>
          <w:highlight w:val="none"/>
        </w:rPr>
        <w:t>，从业人员</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人，营业收入为</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万元，资产总额为</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万元</w:t>
      </w:r>
      <w:r>
        <w:rPr>
          <w:rFonts w:hAnsi="宋体" w:cs="仿宋"/>
          <w:color w:val="auto"/>
          <w:sz w:val="24"/>
          <w:szCs w:val="24"/>
          <w:highlight w:val="none"/>
          <w:vertAlign w:val="superscript"/>
        </w:rPr>
        <w:t>1</w:t>
      </w:r>
      <w:r>
        <w:rPr>
          <w:rFonts w:hint="eastAsia" w:hAnsi="宋体" w:cs="仿宋"/>
          <w:color w:val="auto"/>
          <w:sz w:val="24"/>
          <w:szCs w:val="24"/>
          <w:highlight w:val="none"/>
        </w:rPr>
        <w:t>，属于</w:t>
      </w:r>
      <w:r>
        <w:rPr>
          <w:rFonts w:hint="eastAsia" w:hAnsi="宋体" w:cs="仿宋"/>
          <w:i/>
          <w:color w:val="auto"/>
          <w:sz w:val="24"/>
          <w:szCs w:val="24"/>
          <w:highlight w:val="none"/>
          <w:u w:val="single"/>
        </w:rPr>
        <w:t>（中型企业、小型企业、微型企业）</w:t>
      </w:r>
      <w:r>
        <w:rPr>
          <w:rFonts w:hint="eastAsia" w:hAnsi="宋体" w:cs="仿宋"/>
          <w:color w:val="auto"/>
          <w:sz w:val="24"/>
          <w:szCs w:val="24"/>
          <w:highlight w:val="none"/>
        </w:rPr>
        <w:t>；</w:t>
      </w:r>
    </w:p>
    <w:p>
      <w:pPr>
        <w:autoSpaceDE w:val="0"/>
        <w:autoSpaceDN w:val="0"/>
        <w:spacing w:line="360" w:lineRule="auto"/>
        <w:ind w:firstLine="480" w:firstLineChars="200"/>
        <w:rPr>
          <w:rFonts w:hAnsi="宋体" w:cs="仿宋"/>
          <w:color w:val="auto"/>
          <w:sz w:val="24"/>
          <w:szCs w:val="24"/>
          <w:highlight w:val="none"/>
        </w:rPr>
      </w:pPr>
      <w:r>
        <w:rPr>
          <w:rFonts w:hAnsi="宋体" w:cs="仿宋"/>
          <w:color w:val="auto"/>
          <w:sz w:val="24"/>
          <w:szCs w:val="24"/>
          <w:highlight w:val="none"/>
        </w:rPr>
        <w:t>2.</w:t>
      </w:r>
      <w:r>
        <w:rPr>
          <w:rFonts w:hAnsi="宋体" w:cs="仿宋"/>
          <w:i/>
          <w:color w:val="auto"/>
          <w:sz w:val="24"/>
          <w:szCs w:val="24"/>
          <w:highlight w:val="none"/>
          <w:u w:val="single"/>
        </w:rPr>
        <w:t xml:space="preserve"> </w:t>
      </w:r>
      <w:r>
        <w:rPr>
          <w:rFonts w:hint="eastAsia" w:hAnsi="宋体" w:cs="仿宋"/>
          <w:i/>
          <w:color w:val="auto"/>
          <w:sz w:val="24"/>
          <w:szCs w:val="24"/>
          <w:highlight w:val="none"/>
          <w:u w:val="single"/>
        </w:rPr>
        <w:t>（标的名称）</w:t>
      </w:r>
      <w:r>
        <w:rPr>
          <w:rFonts w:hAnsi="宋体" w:cs="仿宋"/>
          <w:i/>
          <w:color w:val="auto"/>
          <w:sz w:val="24"/>
          <w:szCs w:val="24"/>
          <w:highlight w:val="none"/>
          <w:u w:val="single"/>
        </w:rPr>
        <w:t xml:space="preserve"> </w:t>
      </w:r>
      <w:r>
        <w:rPr>
          <w:rFonts w:hint="eastAsia" w:hAnsi="宋体" w:cs="仿宋"/>
          <w:color w:val="auto"/>
          <w:sz w:val="24"/>
          <w:szCs w:val="24"/>
          <w:highlight w:val="none"/>
        </w:rPr>
        <w:t>，属于</w:t>
      </w:r>
      <w:r>
        <w:rPr>
          <w:rFonts w:hint="eastAsia" w:hAnsi="宋体" w:cs="仿宋"/>
          <w:i/>
          <w:color w:val="auto"/>
          <w:sz w:val="24"/>
          <w:szCs w:val="24"/>
          <w:highlight w:val="none"/>
          <w:u w:val="single"/>
        </w:rPr>
        <w:t>（采购文件中明确的所属行业）</w:t>
      </w:r>
      <w:r>
        <w:rPr>
          <w:rFonts w:hint="eastAsia" w:hAnsi="宋体" w:cs="仿宋"/>
          <w:color w:val="auto"/>
          <w:sz w:val="24"/>
          <w:szCs w:val="24"/>
          <w:highlight w:val="none"/>
        </w:rPr>
        <w:t>；承建（承接）企业为</w:t>
      </w:r>
      <w:r>
        <w:rPr>
          <w:rFonts w:hint="eastAsia" w:hAnsi="宋体" w:cs="仿宋"/>
          <w:i/>
          <w:color w:val="auto"/>
          <w:sz w:val="24"/>
          <w:szCs w:val="24"/>
          <w:highlight w:val="none"/>
          <w:u w:val="single"/>
        </w:rPr>
        <w:t>（企业名称）</w:t>
      </w:r>
      <w:r>
        <w:rPr>
          <w:rFonts w:hint="eastAsia" w:hAnsi="宋体" w:cs="仿宋"/>
          <w:color w:val="auto"/>
          <w:sz w:val="24"/>
          <w:szCs w:val="24"/>
          <w:highlight w:val="none"/>
        </w:rPr>
        <w:t>，从业人员人</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，营业收入为</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万元，资产总额为</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万元，属于</w:t>
      </w:r>
      <w:r>
        <w:rPr>
          <w:rFonts w:hint="eastAsia" w:hAnsi="宋体" w:cs="仿宋"/>
          <w:i/>
          <w:color w:val="auto"/>
          <w:sz w:val="24"/>
          <w:szCs w:val="24"/>
          <w:highlight w:val="none"/>
          <w:u w:val="single"/>
        </w:rPr>
        <w:t>（中型企业、小型企业、微型企业）</w:t>
      </w:r>
      <w:r>
        <w:rPr>
          <w:rFonts w:hint="eastAsia" w:hAnsi="宋体" w:cs="仿宋"/>
          <w:color w:val="auto"/>
          <w:sz w:val="24"/>
          <w:szCs w:val="24"/>
          <w:highlight w:val="none"/>
        </w:rPr>
        <w:t>；</w:t>
      </w:r>
    </w:p>
    <w:p>
      <w:pPr>
        <w:autoSpaceDE w:val="0"/>
        <w:autoSpaceDN w:val="0"/>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w:t>
      </w:r>
    </w:p>
    <w:p>
      <w:pPr>
        <w:autoSpaceDE w:val="0"/>
        <w:autoSpaceDN w:val="0"/>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以上企业，不属于大企业的分支机构，不存在控股股东为大企业的情形，也不存在与大企业的负责人为同一人的情形。</w:t>
      </w:r>
    </w:p>
    <w:p>
      <w:pPr>
        <w:autoSpaceDE w:val="0"/>
        <w:autoSpaceDN w:val="0"/>
        <w:spacing w:line="360" w:lineRule="auto"/>
        <w:ind w:firstLine="480" w:firstLineChars="200"/>
        <w:rPr>
          <w:rFonts w:hint="eastAsia" w:hAnsi="宋体" w:cs="仿宋"/>
          <w:color w:val="auto"/>
          <w:sz w:val="24"/>
          <w:szCs w:val="24"/>
          <w:highlight w:val="none"/>
        </w:rPr>
      </w:pPr>
      <w:r>
        <w:rPr>
          <w:rFonts w:hint="eastAsia" w:hAnsi="宋体" w:cs="仿宋"/>
          <w:color w:val="auto"/>
          <w:sz w:val="24"/>
          <w:szCs w:val="24"/>
          <w:highlight w:val="none"/>
        </w:rPr>
        <w:t>本企业对上述声明内容的真实性负责。如有虚假，将依法承担相应责任。</w:t>
      </w:r>
    </w:p>
    <w:p>
      <w:pPr>
        <w:autoSpaceDE w:val="0"/>
        <w:autoSpaceDN w:val="0"/>
        <w:spacing w:line="360" w:lineRule="auto"/>
        <w:ind w:firstLine="480" w:firstLineChars="200"/>
        <w:rPr>
          <w:rFonts w:hAnsi="宋体" w:cs="仿宋"/>
          <w:color w:val="auto"/>
          <w:sz w:val="24"/>
          <w:szCs w:val="24"/>
          <w:highlight w:val="none"/>
        </w:rPr>
      </w:pPr>
    </w:p>
    <w:p>
      <w:pPr>
        <w:autoSpaceDE w:val="0"/>
        <w:autoSpaceDN w:val="0"/>
        <w:spacing w:line="360" w:lineRule="auto"/>
        <w:ind w:left="4760" w:leftChars="1400" w:firstLine="480" w:firstLineChars="200"/>
        <w:rPr>
          <w:rFonts w:hint="eastAsia" w:hAnsi="宋体" w:cs="仿宋"/>
          <w:color w:val="auto"/>
          <w:sz w:val="28"/>
          <w:szCs w:val="28"/>
          <w:highlight w:val="none"/>
        </w:rPr>
      </w:pPr>
      <w:r>
        <w:rPr>
          <w:rFonts w:hint="eastAsia" w:hAnsi="宋体" w:cs="仿宋"/>
          <w:color w:val="auto"/>
          <w:sz w:val="24"/>
          <w:szCs w:val="24"/>
          <w:highlight w:val="none"/>
        </w:rPr>
        <w:t>企业名称（盖章）：</w:t>
      </w:r>
    </w:p>
    <w:p>
      <w:pPr>
        <w:autoSpaceDE w:val="0"/>
        <w:autoSpaceDN w:val="0"/>
        <w:spacing w:line="360" w:lineRule="auto"/>
        <w:ind w:left="4760" w:leftChars="1400" w:firstLine="560" w:firstLineChars="200"/>
        <w:rPr>
          <w:rFonts w:hAnsi="宋体" w:cs="仿宋"/>
          <w:color w:val="auto"/>
          <w:sz w:val="28"/>
          <w:szCs w:val="28"/>
          <w:highlight w:val="none"/>
        </w:rPr>
      </w:pPr>
    </w:p>
    <w:p>
      <w:pPr>
        <w:autoSpaceDE w:val="0"/>
        <w:autoSpaceDN w:val="0"/>
        <w:spacing w:line="360" w:lineRule="auto"/>
        <w:ind w:left="4760" w:leftChars="1400" w:firstLine="560" w:firstLineChars="200"/>
        <w:rPr>
          <w:rFonts w:hAnsi="宋体" w:cs="TimesNewRomanPSMT"/>
          <w:color w:val="auto"/>
          <w:sz w:val="24"/>
          <w:szCs w:val="28"/>
          <w:highlight w:val="none"/>
          <w:vertAlign w:val="superscript"/>
        </w:rPr>
      </w:pPr>
      <w:r>
        <w:rPr>
          <w:rFonts w:hint="eastAsia" w:hAnsi="宋体" w:cs="仿宋"/>
          <w:color w:val="auto"/>
          <w:sz w:val="28"/>
          <w:szCs w:val="28"/>
          <w:highlight w:val="none"/>
        </w:rPr>
        <w:t>日期：</w:t>
      </w:r>
    </w:p>
    <w:p>
      <w:pPr>
        <w:autoSpaceDE w:val="0"/>
        <w:autoSpaceDN w:val="0"/>
        <w:spacing w:line="360" w:lineRule="auto"/>
        <w:ind w:firstLine="480" w:firstLineChars="200"/>
        <w:rPr>
          <w:rFonts w:hint="eastAsia" w:hAnsi="宋体" w:cs="TimesNewRomanPSMT"/>
          <w:color w:val="auto"/>
          <w:sz w:val="24"/>
          <w:szCs w:val="28"/>
          <w:highlight w:val="none"/>
          <w:vertAlign w:val="superscript"/>
        </w:rPr>
      </w:pPr>
    </w:p>
    <w:p>
      <w:pPr>
        <w:autoSpaceDE w:val="0"/>
        <w:autoSpaceDN w:val="0"/>
        <w:spacing w:line="360" w:lineRule="auto"/>
        <w:ind w:firstLine="480" w:firstLineChars="200"/>
        <w:rPr>
          <w:rFonts w:hAnsi="宋体" w:cs="TimesNewRomanPSMT"/>
          <w:color w:val="auto"/>
          <w:sz w:val="24"/>
          <w:szCs w:val="28"/>
          <w:highlight w:val="none"/>
          <w:vertAlign w:val="superscript"/>
        </w:rPr>
      </w:pPr>
      <w:r>
        <w:rPr>
          <w:rFonts w:hAnsi="宋体" w:cs="TimesNewRomanPSMT"/>
          <w:color w:val="auto"/>
          <w:sz w:val="24"/>
          <w:szCs w:val="28"/>
          <w:highlight w:val="none"/>
          <w:vertAlign w:val="superscript"/>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247650</wp:posOffset>
                </wp:positionV>
                <wp:extent cx="3596640"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35966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35pt;margin-top:19.5pt;height:0pt;width:283.2pt;z-index:251662336;mso-width-relative:page;mso-height-relative:page;" filled="f" stroked="t" coordsize="21600,21600" o:gfxdata="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oUYjS1AAAAAYBAAAPAAAAAAAAAAEAIAAAACIAAABkcnMvZG93bnJldi54&#10;bWxQSwECFAAUAAAACACHTuJATAsdDf4BAADsAwAADgAAAAAAAAABACAAAAAjAQAAZHJzL2Uyb0Rv&#10;Yy54bWxQSwUGAAAAAAYABgBZAQAAkwUAAAAA&#10;">
                <v:fill on="f" focussize="0,0"/>
                <v:stroke color="#000000" joinstyle="round"/>
                <v:imagedata o:title=""/>
                <o:lock v:ext="edit" aspectratio="f"/>
              </v:shape>
            </w:pict>
          </mc:Fallback>
        </mc:AlternateContent>
      </w:r>
    </w:p>
    <w:p>
      <w:pPr>
        <w:autoSpaceDE w:val="0"/>
        <w:autoSpaceDN w:val="0"/>
        <w:spacing w:line="360" w:lineRule="auto"/>
        <w:rPr>
          <w:rFonts w:hAnsi="宋体"/>
          <w:color w:val="auto"/>
          <w:sz w:val="24"/>
          <w:szCs w:val="24"/>
          <w:highlight w:val="none"/>
        </w:rPr>
      </w:pPr>
      <w:r>
        <w:rPr>
          <w:rFonts w:hAnsi="宋体" w:cs="宋体"/>
          <w:color w:val="auto"/>
          <w:sz w:val="20"/>
          <w:szCs w:val="24"/>
          <w:highlight w:val="none"/>
        </w:rPr>
        <w:t xml:space="preserve">1 </w:t>
      </w:r>
      <w:r>
        <w:rPr>
          <w:rFonts w:hint="eastAsia" w:hAnsi="宋体" w:cs="宋体"/>
          <w:color w:val="auto"/>
          <w:sz w:val="20"/>
          <w:szCs w:val="24"/>
          <w:highlight w:val="none"/>
        </w:rPr>
        <w:t>从业人员、营业收入、资产总额填报上一年度数据，无上一年度数据的新成立企业可不填报。</w:t>
      </w:r>
    </w:p>
    <w:p>
      <w:pPr>
        <w:spacing w:line="408" w:lineRule="atLeast"/>
        <w:jc w:val="right"/>
        <w:rPr>
          <w:rFonts w:hAnsi="宋体"/>
          <w:color w:val="auto"/>
          <w:sz w:val="24"/>
          <w:szCs w:val="24"/>
          <w:highlight w:val="none"/>
        </w:rPr>
      </w:pPr>
    </w:p>
    <w:p>
      <w:pPr>
        <w:pStyle w:val="3"/>
        <w:spacing w:before="0" w:after="0" w:line="360" w:lineRule="auto"/>
        <w:outlineLvl w:val="9"/>
        <w:rPr>
          <w:rFonts w:hint="eastAsia" w:hAnsi="宋体"/>
          <w:color w:val="auto"/>
          <w:sz w:val="32"/>
          <w:szCs w:val="32"/>
          <w:highlight w:val="none"/>
        </w:rPr>
      </w:pPr>
      <w:bookmarkStart w:id="57" w:name="_Toc495679392"/>
      <w:bookmarkStart w:id="58" w:name="_Toc71799151"/>
    </w:p>
    <w:p>
      <w:pPr>
        <w:pStyle w:val="3"/>
        <w:spacing w:before="0" w:after="0" w:line="360" w:lineRule="auto"/>
        <w:outlineLvl w:val="0"/>
        <w:rPr>
          <w:rFonts w:hint="eastAsia" w:hAnsi="宋体"/>
          <w:color w:val="auto"/>
          <w:sz w:val="32"/>
          <w:szCs w:val="32"/>
          <w:highlight w:val="none"/>
        </w:rPr>
      </w:pPr>
      <w:r>
        <w:rPr>
          <w:rFonts w:hint="eastAsia" w:hAnsi="宋体"/>
          <w:color w:val="auto"/>
          <w:sz w:val="32"/>
          <w:szCs w:val="32"/>
          <w:highlight w:val="none"/>
        </w:rPr>
        <w:br w:type="page"/>
      </w:r>
      <w:bookmarkStart w:id="59" w:name="_Toc9811"/>
      <w:r>
        <w:rPr>
          <w:rFonts w:hint="eastAsia" w:hAnsi="宋体"/>
          <w:color w:val="auto"/>
          <w:sz w:val="32"/>
          <w:szCs w:val="32"/>
          <w:highlight w:val="none"/>
        </w:rPr>
        <w:t>第三章</w:t>
      </w:r>
      <w:r>
        <w:rPr>
          <w:rFonts w:hint="eastAsia" w:hAnsi="宋体"/>
          <w:color w:val="auto"/>
          <w:sz w:val="32"/>
          <w:szCs w:val="32"/>
          <w:highlight w:val="none"/>
          <w:lang w:val="en-US" w:eastAsia="zh-CN"/>
        </w:rPr>
        <w:t xml:space="preserve">  </w:t>
      </w:r>
      <w:r>
        <w:rPr>
          <w:rFonts w:hint="eastAsia" w:hAnsi="宋体"/>
          <w:color w:val="auto"/>
          <w:sz w:val="32"/>
          <w:szCs w:val="32"/>
          <w:highlight w:val="none"/>
        </w:rPr>
        <w:t>采购需求书</w:t>
      </w:r>
      <w:bookmarkEnd w:id="57"/>
      <w:bookmarkEnd w:id="58"/>
      <w:bookmarkEnd w:id="59"/>
      <w:r>
        <w:rPr>
          <w:rFonts w:hint="eastAsia" w:hAnsi="宋体"/>
          <w:color w:val="auto"/>
          <w:sz w:val="32"/>
          <w:szCs w:val="32"/>
          <w:highlight w:val="none"/>
          <w:lang w:val="en-US" w:eastAsia="zh-CN"/>
        </w:rPr>
        <w:t xml:space="preserve"> </w:t>
      </w:r>
    </w:p>
    <w:p>
      <w:pPr>
        <w:pStyle w:val="15"/>
        <w:shd w:val="clear" w:color="auto" w:fill="FFFFFF"/>
        <w:ind w:firstLine="482" w:firstLineChars="200"/>
        <w:rPr>
          <w:rFonts w:hint="eastAsia" w:ascii="宋体" w:hAnsi="宋体" w:cs="宋体"/>
          <w:b/>
          <w:color w:val="auto"/>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8"/>
          <w:szCs w:val="28"/>
          <w:lang w:val="en-US" w:eastAsia="zh-CN" w:bidi="ar-SA"/>
        </w:rPr>
        <w:t>A包：2023年度公开招聘编内人员命题委托服务项目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cs="宋体"/>
          <w:b/>
          <w:bCs/>
          <w:color w:val="auto"/>
          <w:sz w:val="22"/>
          <w:szCs w:val="22"/>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一、</w:t>
      </w:r>
      <w:r>
        <w:rPr>
          <w:rFonts w:hint="eastAsia" w:ascii="Times New Roman" w:cs="Times New Roman"/>
          <w:b/>
          <w:color w:val="auto"/>
          <w:kern w:val="2"/>
          <w:sz w:val="24"/>
          <w:szCs w:val="24"/>
          <w:lang w:val="en-US" w:eastAsia="zh-CN" w:bidi="ar-SA"/>
        </w:rPr>
        <w:t>标包</w:t>
      </w:r>
      <w:r>
        <w:rPr>
          <w:rFonts w:hint="eastAsia" w:ascii="Times New Roman" w:hAnsi="Times New Roman" w:eastAsia="宋体" w:cs="Times New Roman"/>
          <w:b/>
          <w:color w:val="auto"/>
          <w:kern w:val="2"/>
          <w:sz w:val="24"/>
          <w:szCs w:val="24"/>
          <w:lang w:val="en-US" w:eastAsia="zh-CN" w:bidi="ar-SA"/>
        </w:rPr>
        <w:t>概况：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1、A包：2023年度公开招聘编内人员命题委托服务项目</w:t>
      </w:r>
      <w:r>
        <w:rPr>
          <w:rFonts w:hint="eastAsia" w:ascii="宋体" w:hAnsi="宋体" w:eastAsia="宋体" w:cs="宋体"/>
          <w:color w:val="auto"/>
          <w:sz w:val="22"/>
          <w:szCs w:val="22"/>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2、</w:t>
      </w:r>
      <w:r>
        <w:rPr>
          <w:rFonts w:hint="eastAsia" w:hAnsi="宋体" w:cs="宋体"/>
          <w:color w:val="auto"/>
          <w:sz w:val="22"/>
          <w:szCs w:val="22"/>
          <w:lang w:val="en-US" w:eastAsia="zh-CN"/>
        </w:rPr>
        <w:t>A包</w:t>
      </w:r>
      <w:r>
        <w:rPr>
          <w:rFonts w:hint="eastAsia" w:ascii="宋体" w:hAnsi="宋体" w:eastAsia="宋体" w:cs="宋体"/>
          <w:color w:val="auto"/>
          <w:sz w:val="22"/>
          <w:szCs w:val="22"/>
        </w:rPr>
        <w:t>预算（最高限价）：</w:t>
      </w:r>
      <w:r>
        <w:rPr>
          <w:rFonts w:hint="eastAsia" w:ascii="宋体" w:hAnsi="宋体" w:cs="宋体"/>
          <w:color w:val="auto"/>
          <w:sz w:val="22"/>
          <w:szCs w:val="22"/>
          <w:lang w:val="en-US" w:eastAsia="zh-CN"/>
        </w:rPr>
        <w:t>136000.00</w:t>
      </w:r>
      <w:r>
        <w:rPr>
          <w:rFonts w:hint="eastAsia" w:ascii="宋体" w:hAnsi="宋体" w:eastAsia="宋体" w:cs="宋体"/>
          <w:color w:val="auto"/>
          <w:sz w:val="22"/>
          <w:szCs w:val="22"/>
        </w:rPr>
        <w:t>元</w:t>
      </w:r>
      <w:r>
        <w:rPr>
          <w:rFonts w:hint="eastAsia" w:ascii="宋体" w:hAnsi="宋体" w:eastAsia="宋体" w:cs="宋体"/>
          <w:color w:val="auto"/>
          <w:sz w:val="22"/>
          <w:szCs w:val="22"/>
          <w:lang w:eastAsia="zh-CN"/>
        </w:rPr>
        <w:t>，</w:t>
      </w:r>
      <w:r>
        <w:rPr>
          <w:rFonts w:hint="eastAsia" w:ascii="宋体" w:hAnsi="宋体" w:eastAsia="宋体" w:cs="宋体"/>
          <w:b w:val="0"/>
          <w:bCs w:val="0"/>
          <w:color w:val="auto"/>
          <w:sz w:val="22"/>
          <w:szCs w:val="22"/>
          <w:lang w:eastAsia="zh-CN"/>
        </w:rPr>
        <w:t>供应商</w:t>
      </w:r>
      <w:r>
        <w:rPr>
          <w:rFonts w:hint="eastAsia" w:ascii="宋体" w:hAnsi="宋体" w:eastAsia="宋体" w:cs="宋体"/>
          <w:b w:val="0"/>
          <w:bCs w:val="0"/>
          <w:color w:val="auto"/>
          <w:sz w:val="22"/>
          <w:szCs w:val="22"/>
        </w:rPr>
        <w:t>投标报价超出</w:t>
      </w:r>
      <w:r>
        <w:rPr>
          <w:rFonts w:hint="eastAsia" w:hAnsi="宋体" w:cs="宋体"/>
          <w:b w:val="0"/>
          <w:bCs w:val="0"/>
          <w:color w:val="auto"/>
          <w:sz w:val="22"/>
          <w:szCs w:val="22"/>
          <w:lang w:val="en-US" w:eastAsia="zh-CN"/>
        </w:rPr>
        <w:t>A包</w:t>
      </w:r>
      <w:r>
        <w:rPr>
          <w:rFonts w:hint="eastAsia" w:ascii="宋体" w:hAnsi="宋体" w:eastAsia="宋体" w:cs="宋体"/>
          <w:b w:val="0"/>
          <w:bCs w:val="0"/>
          <w:color w:val="auto"/>
          <w:sz w:val="22"/>
          <w:szCs w:val="22"/>
        </w:rPr>
        <w:t>预算金额（最高限价），按无效投标处理。</w:t>
      </w:r>
    </w:p>
    <w:p>
      <w:pPr>
        <w:spacing w:line="360" w:lineRule="auto"/>
        <w:rPr>
          <w:rFonts w:hint="eastAsia" w:ascii="Times New Roman" w:hAnsi="Times New Roman"/>
          <w:b/>
          <w:color w:val="auto"/>
          <w:sz w:val="24"/>
          <w:szCs w:val="24"/>
        </w:rPr>
      </w:pPr>
      <w:bookmarkStart w:id="60" w:name="_Toc11339"/>
      <w:r>
        <w:rPr>
          <w:rFonts w:hint="eastAsia" w:ascii="Times New Roman" w:hAnsi="Times New Roman"/>
          <w:b/>
          <w:color w:val="auto"/>
          <w:sz w:val="24"/>
          <w:szCs w:val="24"/>
          <w:lang w:val="en-GB"/>
        </w:rPr>
        <w:t>二</w:t>
      </w:r>
      <w:r>
        <w:rPr>
          <w:rFonts w:hint="eastAsia" w:ascii="Times New Roman" w:hAnsi="Times New Roman"/>
          <w:b/>
          <w:color w:val="auto"/>
          <w:sz w:val="24"/>
          <w:szCs w:val="24"/>
          <w:lang w:val="en-GB" w:eastAsia="zh-CN"/>
        </w:rPr>
        <w:t>、</w:t>
      </w:r>
      <w:bookmarkEnd w:id="60"/>
      <w:r>
        <w:rPr>
          <w:rFonts w:hint="eastAsia" w:ascii="Times New Roman" w:hAnsi="Times New Roman"/>
          <w:b/>
          <w:color w:val="auto"/>
          <w:sz w:val="24"/>
          <w:szCs w:val="24"/>
          <w:lang w:val="en-US" w:eastAsia="zh-CN"/>
        </w:rPr>
        <w:t>采购内容</w:t>
      </w:r>
      <w:r>
        <w:rPr>
          <w:rFonts w:hint="eastAsia" w:ascii="Times New Roman" w:hAnsi="Times New Roman"/>
          <w:b/>
          <w:color w:val="auto"/>
          <w:sz w:val="24"/>
          <w:szCs w:val="24"/>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784"/>
        <w:gridCol w:w="3059"/>
        <w:gridCol w:w="1083"/>
        <w:gridCol w:w="834"/>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5000" w:type="pct"/>
            <w:gridSpan w:val="6"/>
            <w:tcBorders>
              <w:top w:val="nil"/>
              <w:left w:val="nil"/>
              <w:right w:val="nil"/>
            </w:tcBorders>
            <w:noWrap/>
            <w:vAlign w:val="center"/>
          </w:tcPr>
          <w:p>
            <w:pPr>
              <w:widowControl/>
              <w:jc w:val="center"/>
              <w:textAlignment w:val="center"/>
              <w:rPr>
                <w:rFonts w:hint="eastAsia" w:ascii="宋体" w:hAnsi="宋体" w:cs="宋体"/>
                <w:b/>
                <w:bCs/>
                <w:color w:val="auto"/>
                <w:sz w:val="24"/>
              </w:rPr>
            </w:pPr>
            <w:r>
              <w:rPr>
                <w:rFonts w:hint="eastAsia" w:ascii="宋体" w:hAnsi="宋体" w:eastAsia="宋体" w:cs="宋体"/>
                <w:color w:val="auto"/>
                <w:sz w:val="24"/>
                <w:szCs w:val="24"/>
                <w:lang w:val="en-US" w:eastAsia="zh-CN"/>
              </w:rPr>
              <w:t>海南省安宁医院2023年度公开招聘编内人员命题委托服务项目（A包）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09" w:type="pct"/>
            <w:tcBorders>
              <w:tl2br w:val="nil"/>
              <w:tr2bl w:val="nil"/>
            </w:tcBorders>
            <w:noWrap/>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序号</w:t>
            </w:r>
          </w:p>
        </w:tc>
        <w:tc>
          <w:tcPr>
            <w:tcW w:w="1023" w:type="pct"/>
            <w:tcBorders>
              <w:tl2br w:val="nil"/>
              <w:tr2bl w:val="nil"/>
            </w:tcBorders>
            <w:noWrap/>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项目类别</w:t>
            </w:r>
          </w:p>
        </w:tc>
        <w:tc>
          <w:tcPr>
            <w:tcW w:w="1754" w:type="pct"/>
            <w:tcBorders>
              <w:tl2br w:val="nil"/>
              <w:tr2bl w:val="nil"/>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服务内容及标准</w:t>
            </w:r>
          </w:p>
        </w:tc>
        <w:tc>
          <w:tcPr>
            <w:tcW w:w="621" w:type="pct"/>
            <w:tcBorders>
              <w:tl2br w:val="nil"/>
              <w:tr2bl w:val="nil"/>
            </w:tcBorders>
            <w:noWrap/>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数量</w:t>
            </w:r>
          </w:p>
        </w:tc>
        <w:tc>
          <w:tcPr>
            <w:tcW w:w="478" w:type="pct"/>
            <w:tcBorders>
              <w:tl2br w:val="nil"/>
              <w:tr2bl w:val="nil"/>
            </w:tcBorders>
            <w:noWrap/>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单位</w:t>
            </w:r>
          </w:p>
        </w:tc>
        <w:tc>
          <w:tcPr>
            <w:tcW w:w="712" w:type="pct"/>
            <w:tcBorders>
              <w:tl2br w:val="nil"/>
              <w:tr2bl w:val="nil"/>
            </w:tcBorders>
            <w:noWrap/>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09" w:type="pct"/>
            <w:vMerge w:val="restar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1023" w:type="pct"/>
            <w:vMerge w:val="restart"/>
            <w:tcBorders>
              <w:tl2br w:val="nil"/>
              <w:tr2bl w:val="nil"/>
            </w:tcBorders>
            <w:noWrap w:val="0"/>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命题劳务费</w:t>
            </w:r>
          </w:p>
        </w:tc>
        <w:tc>
          <w:tcPr>
            <w:tcW w:w="1754" w:type="pc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笔试命题9套分（AB卷）</w:t>
            </w:r>
          </w:p>
        </w:tc>
        <w:tc>
          <w:tcPr>
            <w:tcW w:w="621" w:type="pct"/>
            <w:tcBorders>
              <w:tl2br w:val="nil"/>
              <w:tr2bl w:val="nil"/>
            </w:tcBorders>
            <w:noWrap/>
            <w:vAlign w:val="center"/>
          </w:tcPr>
          <w:p>
            <w:pPr>
              <w:widowControl/>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bidi="ar"/>
              </w:rPr>
              <w:t>18</w:t>
            </w:r>
          </w:p>
        </w:tc>
        <w:tc>
          <w:tcPr>
            <w:tcW w:w="478" w:type="pc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套</w:t>
            </w:r>
          </w:p>
        </w:tc>
        <w:tc>
          <w:tcPr>
            <w:tcW w:w="712" w:type="pct"/>
            <w:vMerge w:val="restart"/>
            <w:tcBorders>
              <w:tl2br w:val="nil"/>
              <w:tr2bl w:val="nil"/>
            </w:tcBorders>
            <w:noWrap w:val="0"/>
            <w:vAlign w:val="center"/>
          </w:tcPr>
          <w:p>
            <w:pPr>
              <w:widowControl/>
              <w:jc w:val="left"/>
              <w:textAlignment w:val="center"/>
              <w:rPr>
                <w:rFonts w:hint="default" w:ascii="宋体" w:hAnsi="宋体" w:eastAsia="宋体" w:cs="宋体"/>
                <w:color w:val="auto"/>
                <w:sz w:val="24"/>
                <w:lang w:val="en-US" w:eastAsia="zh-CN"/>
              </w:rPr>
            </w:pPr>
            <w:r>
              <w:rPr>
                <w:rFonts w:hint="eastAsia" w:ascii="宋体" w:hAnsi="宋体" w:cs="宋体"/>
                <w:color w:val="auto"/>
                <w:sz w:val="24"/>
              </w:rPr>
              <w:t xml:space="preserve">笔试按照 </w:t>
            </w:r>
            <w:r>
              <w:rPr>
                <w:rFonts w:hint="eastAsia" w:ascii="宋体" w:hAnsi="宋体" w:cs="宋体"/>
                <w:color w:val="auto"/>
                <w:sz w:val="24"/>
                <w:lang w:val="en-US" w:eastAsia="zh-CN"/>
              </w:rPr>
              <w:t>100</w:t>
            </w:r>
            <w:r>
              <w:rPr>
                <w:rFonts w:hint="eastAsia" w:ascii="宋体" w:hAnsi="宋体" w:cs="宋体"/>
                <w:color w:val="auto"/>
                <w:sz w:val="24"/>
              </w:rPr>
              <w:t>0 人，进入面试</w:t>
            </w:r>
            <w:r>
              <w:rPr>
                <w:rFonts w:hint="eastAsia" w:ascii="宋体" w:hAnsi="宋体" w:cs="宋体"/>
                <w:color w:val="auto"/>
                <w:sz w:val="24"/>
                <w:lang w:val="en-US" w:eastAsia="zh-CN"/>
              </w:rPr>
              <w:t>100</w:t>
            </w:r>
            <w:r>
              <w:rPr>
                <w:rFonts w:hint="eastAsia" w:ascii="宋体" w:hAnsi="宋体" w:cs="宋体"/>
                <w:color w:val="auto"/>
                <w:sz w:val="24"/>
              </w:rPr>
              <w:t>人测算</w:t>
            </w:r>
            <w:r>
              <w:rPr>
                <w:rFonts w:hint="eastAsia" w:ascii="宋体" w:hAnsi="宋体" w:cs="宋体"/>
                <w:color w:val="000000" w:themeColor="text1"/>
                <w:sz w:val="24"/>
                <w14:textFill>
                  <w14:solidFill>
                    <w14:schemeClr w14:val="tx1"/>
                  </w14:solidFill>
                </w14:textFill>
              </w:rPr>
              <w:t>（最终按照实际支出结算）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 w:type="pct"/>
            <w:vMerge w:val="continue"/>
            <w:tcBorders>
              <w:tl2br w:val="nil"/>
              <w:tr2bl w:val="nil"/>
            </w:tcBorders>
            <w:noWrap/>
            <w:vAlign w:val="center"/>
          </w:tcPr>
          <w:p>
            <w:pPr>
              <w:widowControl/>
              <w:jc w:val="center"/>
              <w:textAlignment w:val="center"/>
              <w:rPr>
                <w:rFonts w:hint="eastAsia" w:ascii="宋体" w:hAnsi="宋体" w:eastAsia="宋体" w:cs="宋体"/>
                <w:color w:val="auto"/>
                <w:sz w:val="22"/>
                <w:szCs w:val="22"/>
              </w:rPr>
            </w:pPr>
          </w:p>
        </w:tc>
        <w:tc>
          <w:tcPr>
            <w:tcW w:w="1023" w:type="pct"/>
            <w:vMerge w:val="continue"/>
            <w:tcBorders>
              <w:tl2br w:val="nil"/>
              <w:tr2bl w:val="nil"/>
            </w:tcBorders>
            <w:noWrap w:val="0"/>
            <w:vAlign w:val="center"/>
          </w:tcPr>
          <w:p>
            <w:pPr>
              <w:jc w:val="center"/>
              <w:rPr>
                <w:rFonts w:hint="eastAsia" w:ascii="宋体" w:hAnsi="宋体" w:eastAsia="宋体" w:cs="宋体"/>
                <w:color w:val="auto"/>
                <w:sz w:val="22"/>
                <w:szCs w:val="22"/>
              </w:rPr>
            </w:pPr>
          </w:p>
        </w:tc>
        <w:tc>
          <w:tcPr>
            <w:tcW w:w="1754" w:type="pc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面试命题4套分（AB卷）</w:t>
            </w:r>
          </w:p>
        </w:tc>
        <w:tc>
          <w:tcPr>
            <w:tcW w:w="621" w:type="pct"/>
            <w:tcBorders>
              <w:tl2br w:val="nil"/>
              <w:tr2bl w:val="nil"/>
            </w:tcBorders>
            <w:noWrap/>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val="en-US" w:eastAsia="zh-CN" w:bidi="ar"/>
              </w:rPr>
              <w:t>8</w:t>
            </w:r>
          </w:p>
        </w:tc>
        <w:tc>
          <w:tcPr>
            <w:tcW w:w="478" w:type="pc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套</w:t>
            </w:r>
          </w:p>
        </w:tc>
        <w:tc>
          <w:tcPr>
            <w:tcW w:w="712" w:type="pct"/>
            <w:vMerge w:val="continue"/>
            <w:tcBorders>
              <w:tl2br w:val="nil"/>
              <w:tr2bl w:val="nil"/>
            </w:tcBorders>
            <w:noWrap w:val="0"/>
            <w:vAlign w:val="center"/>
          </w:tcPr>
          <w:p>
            <w:pPr>
              <w:widowControl/>
              <w:jc w:val="left"/>
              <w:textAlignment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09" w:type="pct"/>
            <w:vMerge w:val="restar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023" w:type="pct"/>
            <w:vMerge w:val="restart"/>
            <w:tcBorders>
              <w:tl2br w:val="nil"/>
              <w:tr2bl w:val="nil"/>
            </w:tcBorders>
            <w:noWrap w:val="0"/>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制卷</w:t>
            </w:r>
            <w:r>
              <w:rPr>
                <w:rFonts w:hint="eastAsia" w:ascii="宋体" w:hAnsi="宋体" w:eastAsia="宋体" w:cs="宋体"/>
                <w:color w:val="auto"/>
                <w:kern w:val="0"/>
                <w:sz w:val="22"/>
                <w:szCs w:val="22"/>
                <w:lang w:val="en-US" w:eastAsia="zh-CN" w:bidi="ar"/>
              </w:rPr>
              <w:t>及</w:t>
            </w:r>
            <w:r>
              <w:rPr>
                <w:rFonts w:hint="eastAsia" w:ascii="宋体" w:hAnsi="宋体" w:eastAsia="宋体" w:cs="宋体"/>
                <w:color w:val="auto"/>
                <w:kern w:val="0"/>
                <w:sz w:val="22"/>
                <w:szCs w:val="22"/>
                <w:lang w:bidi="ar"/>
              </w:rPr>
              <w:t>阅卷</w:t>
            </w:r>
          </w:p>
        </w:tc>
        <w:tc>
          <w:tcPr>
            <w:tcW w:w="1754" w:type="pc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笔试试卷印刷及封装分（AB卷）</w:t>
            </w:r>
          </w:p>
        </w:tc>
        <w:tc>
          <w:tcPr>
            <w:tcW w:w="6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2000</w:t>
            </w:r>
          </w:p>
        </w:tc>
        <w:tc>
          <w:tcPr>
            <w:tcW w:w="47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份</w:t>
            </w:r>
          </w:p>
        </w:tc>
        <w:tc>
          <w:tcPr>
            <w:tcW w:w="712" w:type="pct"/>
            <w:vMerge w:val="continue"/>
            <w:tcBorders>
              <w:tl2br w:val="nil"/>
              <w:tr2bl w:val="nil"/>
            </w:tcBorders>
            <w:noWrap w:val="0"/>
            <w:vAlign w:val="center"/>
          </w:tcPr>
          <w:p>
            <w:pPr>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09" w:type="pct"/>
            <w:vMerge w:val="continue"/>
            <w:tcBorders>
              <w:tl2br w:val="nil"/>
              <w:tr2bl w:val="nil"/>
            </w:tcBorders>
            <w:noWrap/>
            <w:vAlign w:val="center"/>
          </w:tcPr>
          <w:p>
            <w:pPr>
              <w:widowControl/>
              <w:jc w:val="center"/>
              <w:textAlignment w:val="center"/>
              <w:rPr>
                <w:rFonts w:hint="eastAsia" w:ascii="宋体" w:hAnsi="宋体" w:eastAsia="宋体" w:cs="宋体"/>
                <w:color w:val="auto"/>
                <w:sz w:val="22"/>
                <w:szCs w:val="22"/>
              </w:rPr>
            </w:pPr>
          </w:p>
        </w:tc>
        <w:tc>
          <w:tcPr>
            <w:tcW w:w="1023" w:type="pct"/>
            <w:vMerge w:val="continue"/>
            <w:tcBorders>
              <w:tl2br w:val="nil"/>
              <w:tr2bl w:val="nil"/>
            </w:tcBorders>
            <w:noWrap w:val="0"/>
            <w:vAlign w:val="center"/>
          </w:tcPr>
          <w:p>
            <w:pPr>
              <w:widowControl/>
              <w:jc w:val="center"/>
              <w:textAlignment w:val="center"/>
              <w:rPr>
                <w:rFonts w:hint="eastAsia" w:ascii="宋体" w:hAnsi="宋体" w:eastAsia="宋体" w:cs="宋体"/>
                <w:color w:val="auto"/>
                <w:sz w:val="22"/>
                <w:szCs w:val="22"/>
              </w:rPr>
            </w:pPr>
          </w:p>
        </w:tc>
        <w:tc>
          <w:tcPr>
            <w:tcW w:w="1754" w:type="pc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auto"/>
                <w:kern w:val="0"/>
                <w:sz w:val="22"/>
                <w:szCs w:val="22"/>
                <w:u w:val="none"/>
                <w:lang w:val="en-US" w:eastAsia="zh-CN" w:bidi="ar"/>
              </w:rPr>
              <w:t>笔试阅卷</w:t>
            </w:r>
          </w:p>
        </w:tc>
        <w:tc>
          <w:tcPr>
            <w:tcW w:w="6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1000</w:t>
            </w:r>
          </w:p>
        </w:tc>
        <w:tc>
          <w:tcPr>
            <w:tcW w:w="47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份</w:t>
            </w:r>
          </w:p>
        </w:tc>
        <w:tc>
          <w:tcPr>
            <w:tcW w:w="712" w:type="pct"/>
            <w:vMerge w:val="continue"/>
            <w:tcBorders>
              <w:tl2br w:val="nil"/>
              <w:tr2bl w:val="nil"/>
            </w:tcBorders>
            <w:noWrap w:val="0"/>
            <w:vAlign w:val="center"/>
          </w:tcPr>
          <w:p>
            <w:pPr>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09" w:type="pct"/>
            <w:vMerge w:val="restar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3</w:t>
            </w:r>
          </w:p>
        </w:tc>
        <w:tc>
          <w:tcPr>
            <w:tcW w:w="1023" w:type="pct"/>
            <w:vMerge w:val="restart"/>
            <w:tcBorders>
              <w:tl2br w:val="nil"/>
              <w:tr2bl w:val="nil"/>
            </w:tcBorders>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制卷、阅卷设备</w:t>
            </w:r>
          </w:p>
        </w:tc>
        <w:tc>
          <w:tcPr>
            <w:tcW w:w="1754" w:type="pc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制卷、阅卷系统设备及场地费用</w:t>
            </w:r>
          </w:p>
        </w:tc>
        <w:tc>
          <w:tcPr>
            <w:tcW w:w="6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1</w:t>
            </w:r>
          </w:p>
        </w:tc>
        <w:tc>
          <w:tcPr>
            <w:tcW w:w="47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次</w:t>
            </w:r>
          </w:p>
        </w:tc>
        <w:tc>
          <w:tcPr>
            <w:tcW w:w="712" w:type="pct"/>
            <w:vMerge w:val="continue"/>
            <w:tcBorders>
              <w:tl2br w:val="nil"/>
              <w:tr2bl w:val="nil"/>
            </w:tcBorders>
            <w:noWrap w:val="0"/>
            <w:vAlign w:val="center"/>
          </w:tcPr>
          <w:p>
            <w:pPr>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09" w:type="pct"/>
            <w:vMerge w:val="continue"/>
            <w:tcBorders>
              <w:tl2br w:val="nil"/>
              <w:tr2bl w:val="nil"/>
            </w:tcBorders>
            <w:noWrap/>
            <w:vAlign w:val="center"/>
          </w:tcPr>
          <w:p>
            <w:pPr>
              <w:widowControl/>
              <w:jc w:val="center"/>
              <w:textAlignment w:val="center"/>
              <w:rPr>
                <w:rFonts w:hint="eastAsia" w:ascii="宋体" w:hAnsi="宋体" w:eastAsia="宋体" w:cs="宋体"/>
                <w:color w:val="auto"/>
                <w:sz w:val="22"/>
                <w:szCs w:val="22"/>
              </w:rPr>
            </w:pPr>
          </w:p>
        </w:tc>
        <w:tc>
          <w:tcPr>
            <w:tcW w:w="1023" w:type="pct"/>
            <w:vMerge w:val="continue"/>
            <w:tcBorders>
              <w:tl2br w:val="nil"/>
              <w:tr2bl w:val="nil"/>
            </w:tcBorders>
            <w:noWrap w:val="0"/>
            <w:vAlign w:val="center"/>
          </w:tcPr>
          <w:p>
            <w:pPr>
              <w:jc w:val="center"/>
              <w:rPr>
                <w:rFonts w:hint="eastAsia" w:ascii="宋体" w:hAnsi="宋体" w:eastAsia="宋体" w:cs="宋体"/>
                <w:color w:val="auto"/>
                <w:sz w:val="22"/>
                <w:szCs w:val="22"/>
              </w:rPr>
            </w:pPr>
          </w:p>
        </w:tc>
        <w:tc>
          <w:tcPr>
            <w:tcW w:w="1754" w:type="pc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录像硬盘设备</w:t>
            </w:r>
          </w:p>
        </w:tc>
        <w:tc>
          <w:tcPr>
            <w:tcW w:w="6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1</w:t>
            </w:r>
          </w:p>
        </w:tc>
        <w:tc>
          <w:tcPr>
            <w:tcW w:w="478"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个</w:t>
            </w:r>
          </w:p>
        </w:tc>
        <w:tc>
          <w:tcPr>
            <w:tcW w:w="712" w:type="pct"/>
            <w:vMerge w:val="continue"/>
            <w:tcBorders>
              <w:tl2br w:val="nil"/>
              <w:tr2bl w:val="nil"/>
            </w:tcBorders>
            <w:noWrap w:val="0"/>
            <w:vAlign w:val="center"/>
          </w:tcPr>
          <w:p>
            <w:pPr>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09" w:type="pc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1023" w:type="pct"/>
            <w:tcBorders>
              <w:tl2br w:val="nil"/>
              <w:tr2bl w:val="nil"/>
            </w:tcBorders>
            <w:noWrap w:val="0"/>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试卷运输押送费</w:t>
            </w:r>
          </w:p>
        </w:tc>
        <w:tc>
          <w:tcPr>
            <w:tcW w:w="1754" w:type="pct"/>
            <w:tcBorders>
              <w:tl2br w:val="nil"/>
              <w:tr2bl w:val="nil"/>
            </w:tcBorders>
            <w:noWrap w:val="0"/>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笔试、面试试卷押送</w:t>
            </w:r>
          </w:p>
        </w:tc>
        <w:tc>
          <w:tcPr>
            <w:tcW w:w="621" w:type="pc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478" w:type="pc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趟</w:t>
            </w:r>
          </w:p>
        </w:tc>
        <w:tc>
          <w:tcPr>
            <w:tcW w:w="712" w:type="pct"/>
            <w:vMerge w:val="continue"/>
            <w:tcBorders>
              <w:tl2br w:val="nil"/>
              <w:tr2bl w:val="nil"/>
            </w:tcBorders>
            <w:noWrap w:val="0"/>
            <w:vAlign w:val="center"/>
          </w:tcPr>
          <w:p>
            <w:pPr>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09" w:type="pc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3877" w:type="pct"/>
            <w:gridSpan w:val="4"/>
            <w:tcBorders>
              <w:tl2br w:val="nil"/>
              <w:tr2bl w:val="nil"/>
            </w:tcBorders>
            <w:noWrap w:val="0"/>
            <w:vAlign w:val="center"/>
          </w:tcPr>
          <w:p>
            <w:pPr>
              <w:widowControl/>
              <w:ind w:firstLine="660" w:firstLineChars="300"/>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小计：</w:t>
            </w:r>
          </w:p>
        </w:tc>
        <w:tc>
          <w:tcPr>
            <w:tcW w:w="712" w:type="pct"/>
            <w:vMerge w:val="continue"/>
            <w:tcBorders>
              <w:tl2br w:val="nil"/>
              <w:tr2bl w:val="nil"/>
            </w:tcBorders>
            <w:noWrap w:val="0"/>
            <w:vAlign w:val="center"/>
          </w:tcPr>
          <w:p>
            <w:pPr>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09" w:type="pct"/>
            <w:vMerge w:val="restart"/>
            <w:tcBorders>
              <w:tl2br w:val="nil"/>
              <w:tr2bl w:val="nil"/>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1023" w:type="pct"/>
            <w:vMerge w:val="restart"/>
            <w:tcBorders>
              <w:tl2br w:val="nil"/>
              <w:tr2bl w:val="nil"/>
            </w:tcBorders>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服务费和发票税点</w:t>
            </w:r>
          </w:p>
        </w:tc>
        <w:tc>
          <w:tcPr>
            <w:tcW w:w="1754" w:type="pct"/>
            <w:tcBorders>
              <w:tl2br w:val="nil"/>
              <w:tr2bl w:val="nil"/>
            </w:tcBorders>
            <w:noWrap w:val="0"/>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项目服务费</w:t>
            </w:r>
          </w:p>
        </w:tc>
        <w:tc>
          <w:tcPr>
            <w:tcW w:w="621" w:type="pct"/>
            <w:tcBorders>
              <w:tl2br w:val="nil"/>
              <w:tr2bl w:val="nil"/>
            </w:tcBorders>
            <w:noWrap/>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w:t>
            </w:r>
          </w:p>
        </w:tc>
        <w:tc>
          <w:tcPr>
            <w:tcW w:w="478" w:type="pct"/>
            <w:tcBorders>
              <w:tl2br w:val="nil"/>
              <w:tr2bl w:val="nil"/>
            </w:tcBorders>
            <w:noWrap/>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项</w:t>
            </w:r>
          </w:p>
        </w:tc>
        <w:tc>
          <w:tcPr>
            <w:tcW w:w="712" w:type="pct"/>
            <w:vMerge w:val="continue"/>
            <w:tcBorders>
              <w:tl2br w:val="nil"/>
              <w:tr2bl w:val="nil"/>
            </w:tcBorders>
            <w:noWrap w:val="0"/>
            <w:vAlign w:val="center"/>
          </w:tcPr>
          <w:p>
            <w:pPr>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09" w:type="pct"/>
            <w:vMerge w:val="continue"/>
            <w:tcBorders>
              <w:tl2br w:val="nil"/>
              <w:tr2bl w:val="nil"/>
            </w:tcBorders>
            <w:noWrap/>
            <w:vAlign w:val="center"/>
          </w:tcPr>
          <w:p>
            <w:pPr>
              <w:widowControl/>
              <w:jc w:val="center"/>
              <w:textAlignment w:val="center"/>
              <w:rPr>
                <w:rFonts w:hint="eastAsia" w:ascii="宋体" w:hAnsi="宋体" w:eastAsia="宋体" w:cs="宋体"/>
                <w:color w:val="auto"/>
                <w:sz w:val="22"/>
                <w:szCs w:val="22"/>
              </w:rPr>
            </w:pPr>
          </w:p>
        </w:tc>
        <w:tc>
          <w:tcPr>
            <w:tcW w:w="1023" w:type="pct"/>
            <w:vMerge w:val="continue"/>
            <w:tcBorders>
              <w:tl2br w:val="nil"/>
              <w:tr2bl w:val="nil"/>
            </w:tcBorders>
            <w:noWrap w:val="0"/>
            <w:vAlign w:val="center"/>
          </w:tcPr>
          <w:p>
            <w:pPr>
              <w:jc w:val="center"/>
              <w:rPr>
                <w:rFonts w:hint="eastAsia" w:ascii="宋体" w:hAnsi="宋体" w:eastAsia="宋体" w:cs="宋体"/>
                <w:color w:val="auto"/>
                <w:sz w:val="22"/>
                <w:szCs w:val="22"/>
              </w:rPr>
            </w:pPr>
          </w:p>
        </w:tc>
        <w:tc>
          <w:tcPr>
            <w:tcW w:w="1754" w:type="pct"/>
            <w:tcBorders>
              <w:tl2br w:val="nil"/>
              <w:tr2bl w:val="nil"/>
            </w:tcBorders>
            <w:noWrap w:val="0"/>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发票税点费</w:t>
            </w:r>
          </w:p>
        </w:tc>
        <w:tc>
          <w:tcPr>
            <w:tcW w:w="621" w:type="pct"/>
            <w:tcBorders>
              <w:tl2br w:val="nil"/>
              <w:tr2bl w:val="nil"/>
            </w:tcBorders>
            <w:noWrap/>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w:t>
            </w:r>
          </w:p>
        </w:tc>
        <w:tc>
          <w:tcPr>
            <w:tcW w:w="478" w:type="pct"/>
            <w:tcBorders>
              <w:tl2br w:val="nil"/>
              <w:tr2bl w:val="nil"/>
            </w:tcBorders>
            <w:noWrap/>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项</w:t>
            </w:r>
          </w:p>
        </w:tc>
        <w:tc>
          <w:tcPr>
            <w:tcW w:w="712" w:type="pct"/>
            <w:vMerge w:val="continue"/>
            <w:tcBorders>
              <w:tl2br w:val="nil"/>
              <w:tr2bl w:val="nil"/>
            </w:tcBorders>
            <w:noWrap w:val="0"/>
            <w:vAlign w:val="center"/>
          </w:tcPr>
          <w:p>
            <w:pPr>
              <w:jc w:val="left"/>
              <w:rPr>
                <w:rFonts w:hint="eastAsia" w:ascii="宋体" w:hAnsi="宋体" w:cs="宋体"/>
                <w:color w:val="auto"/>
                <w:sz w:val="24"/>
              </w:rPr>
            </w:pPr>
          </w:p>
        </w:tc>
      </w:tr>
    </w:tbl>
    <w:p>
      <w:pPr>
        <w:spacing w:line="360" w:lineRule="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三、商务要求</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w:t>
      </w:r>
      <w:r>
        <w:rPr>
          <w:rFonts w:hint="eastAsia" w:ascii="宋体" w:hAnsi="宋体" w:cs="宋体"/>
          <w:b w:val="0"/>
          <w:bCs/>
          <w:color w:val="auto"/>
          <w:sz w:val="22"/>
          <w:szCs w:val="22"/>
          <w:lang w:val="en-US" w:eastAsia="zh-CN"/>
        </w:rPr>
        <w:t>服务</w:t>
      </w:r>
      <w:r>
        <w:rPr>
          <w:rFonts w:hint="eastAsia" w:ascii="宋体" w:hAnsi="宋体" w:eastAsia="宋体" w:cs="宋体"/>
          <w:b w:val="0"/>
          <w:bCs/>
          <w:color w:val="auto"/>
          <w:sz w:val="22"/>
          <w:szCs w:val="22"/>
          <w:lang w:val="en-US" w:eastAsia="zh-CN"/>
        </w:rPr>
        <w:t>期：自合同签订之日起60日历天。</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2.服务地点（履行地点）：签订合同时与采购人根据需求确定合同服务地点。</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3.服务方式（履行方式）：签订合同时与采购人协商实施。</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4.安全标准：符合国家、地方和行业的相关政策、法规。</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5.法律法规规定的强制性标准：海南省事业单位公开招聘工作人员笔试工作规则(试行) 《琼人社规〔2021〕2 号》规定，海南省事业单位公开招聘工作人员面试工作规则(试行) 《琼人社规〔2021〕3 号》规定。</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6.验收方法及标准：按本竞争性磋商文件和响应文件的内容及国家、地方和行业的相关政策、法规实施。</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7.中标方在试题命制、试卷印刷、封装等过程中对上述事项负有保密义务，不得与无关人员讨论试卷相关问题，按合同协议履行交接手续，依规定保管试卷，保密结束后考生答卷、成绩表等原始资料一并移交甲方妥善保存。</w:t>
      </w:r>
    </w:p>
    <w:p>
      <w:pPr>
        <w:spacing w:line="360" w:lineRule="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四、其他要求</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1.投标报价含货物、设计、命题、排版、校对、制作、运输、售后服务及各项税费等。</w:t>
      </w:r>
    </w:p>
    <w:p>
      <w:pPr>
        <w:spacing w:line="360" w:lineRule="auto"/>
        <w:rPr>
          <w:rFonts w:hint="eastAsia" w:ascii="宋体" w:hAnsi="宋体" w:eastAsia="宋体" w:cs="宋体"/>
          <w:b w:val="0"/>
          <w:bCs/>
          <w:color w:val="auto"/>
          <w:sz w:val="22"/>
          <w:szCs w:val="22"/>
          <w:lang w:val="en-US" w:eastAsia="zh-CN"/>
        </w:rPr>
      </w:pPr>
      <w:r>
        <w:rPr>
          <w:rFonts w:hint="eastAsia" w:hAnsi="宋体" w:cs="宋体"/>
          <w:b w:val="0"/>
          <w:bCs/>
          <w:color w:val="auto"/>
          <w:sz w:val="22"/>
          <w:szCs w:val="22"/>
          <w:lang w:val="en-US" w:eastAsia="zh-CN"/>
        </w:rPr>
        <w:t>2</w:t>
      </w:r>
      <w:r>
        <w:rPr>
          <w:rFonts w:hint="eastAsia" w:ascii="宋体" w:hAnsi="宋体" w:eastAsia="宋体" w:cs="宋体"/>
          <w:b w:val="0"/>
          <w:bCs/>
          <w:color w:val="auto"/>
          <w:sz w:val="22"/>
          <w:szCs w:val="22"/>
          <w:lang w:val="en-US" w:eastAsia="zh-CN"/>
        </w:rPr>
        <w:t>.成交人须在招聘考试时间前10 个工作日将所有的试卷命题方向拟好并经采购人同意确认。</w:t>
      </w:r>
    </w:p>
    <w:p>
      <w:pPr>
        <w:spacing w:line="360" w:lineRule="auto"/>
        <w:rPr>
          <w:rFonts w:hint="eastAsia" w:ascii="宋体" w:hAnsi="宋体" w:eastAsia="宋体" w:cs="宋体"/>
          <w:b w:val="0"/>
          <w:bCs/>
          <w:color w:val="auto"/>
          <w:sz w:val="22"/>
          <w:szCs w:val="22"/>
          <w:lang w:val="en-US" w:eastAsia="zh-CN"/>
        </w:rPr>
      </w:pPr>
      <w:r>
        <w:rPr>
          <w:rFonts w:hint="eastAsia" w:hAnsi="宋体" w:cs="宋体"/>
          <w:b w:val="0"/>
          <w:bCs/>
          <w:color w:val="auto"/>
          <w:sz w:val="22"/>
          <w:szCs w:val="22"/>
          <w:lang w:val="en-US" w:eastAsia="zh-CN"/>
        </w:rPr>
        <w:t>3</w:t>
      </w:r>
      <w:r>
        <w:rPr>
          <w:rFonts w:hint="eastAsia" w:ascii="宋体" w:hAnsi="宋体" w:eastAsia="宋体" w:cs="宋体"/>
          <w:b w:val="0"/>
          <w:bCs/>
          <w:color w:val="auto"/>
          <w:sz w:val="22"/>
          <w:szCs w:val="22"/>
          <w:lang w:val="en-US" w:eastAsia="zh-CN"/>
        </w:rPr>
        <w:t>.所有命题须符合海南省考试体例要求。</w:t>
      </w:r>
    </w:p>
    <w:p>
      <w:pPr>
        <w:spacing w:line="360" w:lineRule="auto"/>
        <w:rPr>
          <w:rFonts w:hint="eastAsia" w:ascii="宋体" w:hAnsi="宋体" w:eastAsia="宋体" w:cs="宋体"/>
          <w:b w:val="0"/>
          <w:bCs/>
          <w:color w:val="auto"/>
          <w:sz w:val="22"/>
          <w:szCs w:val="22"/>
          <w:lang w:val="en-US" w:eastAsia="zh-CN"/>
        </w:rPr>
      </w:pPr>
      <w:r>
        <w:rPr>
          <w:rFonts w:hint="eastAsia" w:hAnsi="宋体" w:cs="宋体"/>
          <w:b w:val="0"/>
          <w:bCs/>
          <w:color w:val="auto"/>
          <w:sz w:val="22"/>
          <w:szCs w:val="22"/>
          <w:lang w:val="en-US" w:eastAsia="zh-CN"/>
        </w:rPr>
        <w:t>4</w:t>
      </w:r>
      <w:r>
        <w:rPr>
          <w:rFonts w:hint="eastAsia" w:ascii="宋体" w:hAnsi="宋体" w:eastAsia="宋体" w:cs="宋体"/>
          <w:b w:val="0"/>
          <w:bCs/>
          <w:color w:val="auto"/>
          <w:sz w:val="22"/>
          <w:szCs w:val="22"/>
          <w:lang w:val="en-US" w:eastAsia="zh-CN"/>
        </w:rPr>
        <w:t>.报价人必须根据所报产品的技术参数、资质资料编写响应文件。在成交结果公告期间，采购人有权对成交候选人所报产品的资质证书等进行核查，如发现与其响应文件中的描述不一，将报政府采购主管部门严肃处理。</w:t>
      </w:r>
    </w:p>
    <w:p>
      <w:pPr>
        <w:spacing w:line="360" w:lineRule="auto"/>
        <w:rPr>
          <w:rFonts w:hint="eastAsia" w:ascii="宋体" w:hAnsi="宋体" w:eastAsia="宋体" w:cs="宋体"/>
          <w:b w:val="0"/>
          <w:bCs/>
          <w:color w:val="auto"/>
          <w:sz w:val="22"/>
          <w:szCs w:val="22"/>
          <w:lang w:val="en-US" w:eastAsia="zh-CN"/>
        </w:rPr>
      </w:pPr>
      <w:r>
        <w:rPr>
          <w:rFonts w:hint="eastAsia" w:hAnsi="宋体" w:cs="宋体"/>
          <w:b w:val="0"/>
          <w:bCs/>
          <w:color w:val="auto"/>
          <w:sz w:val="22"/>
          <w:szCs w:val="22"/>
          <w:lang w:val="en-US" w:eastAsia="zh-CN"/>
        </w:rPr>
        <w:t>5</w:t>
      </w:r>
      <w:r>
        <w:rPr>
          <w:rFonts w:hint="eastAsia" w:ascii="宋体" w:hAnsi="宋体" w:eastAsia="宋体" w:cs="宋体"/>
          <w:b w:val="0"/>
          <w:bCs/>
          <w:color w:val="auto"/>
          <w:sz w:val="22"/>
          <w:szCs w:val="22"/>
          <w:lang w:val="en-US" w:eastAsia="zh-CN"/>
        </w:rPr>
        <w:t>. 采购人不再二次投入，此次报价中包含了所有租赁及服务的购置和安装、运输保险、装卸、培训辅导、质保期售后服务、全额含税发票、雇员费用等相关费用。</w:t>
      </w:r>
    </w:p>
    <w:p>
      <w:pPr>
        <w:pStyle w:val="2"/>
        <w:ind w:left="0" w:leftChars="0" w:firstLine="0" w:firstLineChars="0"/>
        <w:rPr>
          <w:rFonts w:hint="default"/>
          <w:color w:val="auto"/>
          <w:lang w:val="en-US" w:eastAsia="zh-CN"/>
        </w:rPr>
      </w:pPr>
    </w:p>
    <w:p>
      <w:pPr>
        <w:pStyle w:val="2"/>
        <w:rPr>
          <w:rFonts w:hint="eastAsia" w:ascii="宋体" w:hAnsi="宋体" w:eastAsia="宋体" w:cs="宋体"/>
          <w:b/>
          <w:color w:val="auto"/>
          <w:sz w:val="22"/>
          <w:szCs w:val="22"/>
          <w:lang w:val="en-US" w:eastAsia="zh-CN"/>
        </w:rPr>
      </w:pPr>
    </w:p>
    <w:p>
      <w:pPr>
        <w:rPr>
          <w:rFonts w:hint="eastAsia" w:ascii="Times New Roman" w:hAnsi="Times New Roman" w:eastAsia="宋体" w:cs="Times New Roman"/>
          <w:b/>
          <w:color w:val="auto"/>
          <w:sz w:val="28"/>
          <w:szCs w:val="28"/>
          <w:lang w:val="en-US" w:eastAsia="zh-CN"/>
        </w:rPr>
      </w:pPr>
    </w:p>
    <w:p>
      <w:pPr>
        <w:pStyle w:val="2"/>
        <w:ind w:left="0" w:leftChars="0" w:firstLine="0" w:firstLineChars="0"/>
        <w:jc w:val="center"/>
        <w:rPr>
          <w:rFonts w:hint="eastAsia" w:ascii="宋体" w:hAnsi="宋体" w:eastAsia="宋体" w:cs="宋体"/>
          <w:b/>
          <w:bCs/>
          <w:color w:val="auto"/>
          <w:sz w:val="24"/>
          <w:szCs w:val="24"/>
          <w:lang w:val="en-US" w:eastAsia="zh-CN"/>
        </w:rPr>
      </w:pPr>
      <w:r>
        <w:rPr>
          <w:rFonts w:hint="eastAsia" w:ascii="Times New Roman" w:hAnsi="Times New Roman" w:eastAsia="宋体" w:cs="Times New Roman"/>
          <w:b/>
          <w:color w:val="auto"/>
          <w:sz w:val="28"/>
          <w:szCs w:val="28"/>
          <w:lang w:val="en-US" w:eastAsia="zh-CN"/>
        </w:rPr>
        <w:br w:type="page"/>
      </w:r>
      <w:r>
        <w:rPr>
          <w:rFonts w:hint="eastAsia" w:ascii="宋体" w:hAnsi="宋体" w:eastAsia="宋体" w:cs="宋体"/>
          <w:b/>
          <w:bCs/>
          <w:color w:val="auto"/>
          <w:sz w:val="28"/>
          <w:szCs w:val="28"/>
          <w:lang w:val="en-US" w:eastAsia="zh-CN"/>
        </w:rPr>
        <w:t>B包：2023年度公开招聘编内人员考务委托</w:t>
      </w:r>
      <w:r>
        <w:rPr>
          <w:rFonts w:hint="eastAsia" w:ascii="宋体" w:hAnsi="宋体" w:eastAsia="宋体" w:cs="宋体"/>
          <w:b/>
          <w:bCs/>
          <w:color w:val="auto"/>
          <w:sz w:val="28"/>
          <w:szCs w:val="28"/>
        </w:rPr>
        <w:t>服务</w:t>
      </w:r>
      <w:r>
        <w:rPr>
          <w:rFonts w:hint="eastAsia" w:ascii="宋体" w:hAnsi="宋体" w:eastAsia="宋体" w:cs="宋体"/>
          <w:b/>
          <w:bCs/>
          <w:color w:val="auto"/>
          <w:sz w:val="28"/>
          <w:szCs w:val="28"/>
          <w:lang w:val="en-US" w:eastAsia="zh-CN"/>
        </w:rPr>
        <w:t>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Times New Roman" w:hAnsi="Times New Roman" w:eastAsia="宋体" w:cs="Times New Roman"/>
          <w:b/>
          <w:color w:val="auto"/>
          <w:kern w:val="2"/>
          <w:sz w:val="24"/>
          <w:szCs w:val="24"/>
          <w:lang w:val="en-US" w:eastAsia="zh-CN" w:bidi="ar-SA"/>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一、</w:t>
      </w:r>
      <w:r>
        <w:rPr>
          <w:rFonts w:hint="eastAsia" w:ascii="Times New Roman" w:cs="Times New Roman"/>
          <w:b/>
          <w:color w:val="auto"/>
          <w:kern w:val="2"/>
          <w:sz w:val="24"/>
          <w:szCs w:val="24"/>
          <w:lang w:val="en-US" w:eastAsia="zh-CN" w:bidi="ar-SA"/>
        </w:rPr>
        <w:t>标包</w:t>
      </w:r>
      <w:r>
        <w:rPr>
          <w:rFonts w:hint="eastAsia" w:ascii="Times New Roman" w:hAnsi="Times New Roman" w:eastAsia="宋体" w:cs="Times New Roman"/>
          <w:b/>
          <w:color w:val="auto"/>
          <w:kern w:val="2"/>
          <w:sz w:val="24"/>
          <w:szCs w:val="24"/>
          <w:lang w:val="en-US" w:eastAsia="zh-CN" w:bidi="ar-SA"/>
        </w:rPr>
        <w:t>概况：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1、B包：2023年度公开招聘编内人员考务委托服务项目</w:t>
      </w:r>
      <w:r>
        <w:rPr>
          <w:rFonts w:hint="eastAsia" w:ascii="宋体" w:hAnsi="宋体" w:cs="宋体"/>
          <w:color w:val="auto"/>
          <w:sz w:val="22"/>
          <w:szCs w:val="22"/>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2、</w:t>
      </w:r>
      <w:r>
        <w:rPr>
          <w:rFonts w:hint="eastAsia" w:hAnsi="宋体" w:cs="宋体"/>
          <w:color w:val="auto"/>
          <w:sz w:val="22"/>
          <w:szCs w:val="22"/>
          <w:lang w:val="en-US" w:eastAsia="zh-CN"/>
        </w:rPr>
        <w:t>B包</w:t>
      </w:r>
      <w:r>
        <w:rPr>
          <w:rFonts w:hint="eastAsia" w:ascii="宋体" w:hAnsi="宋体" w:eastAsia="宋体" w:cs="宋体"/>
          <w:color w:val="auto"/>
          <w:sz w:val="22"/>
          <w:szCs w:val="22"/>
        </w:rPr>
        <w:t>预算（最高限价）：</w:t>
      </w:r>
      <w:r>
        <w:rPr>
          <w:rFonts w:hint="eastAsia" w:ascii="宋体" w:hAnsi="宋体" w:cs="宋体"/>
          <w:color w:val="auto"/>
          <w:sz w:val="22"/>
          <w:szCs w:val="22"/>
          <w:lang w:val="en-US" w:eastAsia="zh-CN"/>
        </w:rPr>
        <w:t>80000.00</w:t>
      </w:r>
      <w:r>
        <w:rPr>
          <w:rFonts w:hint="eastAsia" w:ascii="宋体" w:hAnsi="宋体" w:eastAsia="宋体" w:cs="宋体"/>
          <w:color w:val="auto"/>
          <w:sz w:val="22"/>
          <w:szCs w:val="22"/>
        </w:rPr>
        <w:t>元</w:t>
      </w:r>
      <w:r>
        <w:rPr>
          <w:rFonts w:hint="eastAsia" w:ascii="宋体" w:hAnsi="宋体" w:eastAsia="宋体" w:cs="宋体"/>
          <w:color w:val="auto"/>
          <w:sz w:val="22"/>
          <w:szCs w:val="22"/>
          <w:lang w:eastAsia="zh-CN"/>
        </w:rPr>
        <w:t>，</w:t>
      </w:r>
      <w:r>
        <w:rPr>
          <w:rFonts w:hint="eastAsia" w:ascii="宋体" w:hAnsi="宋体" w:eastAsia="宋体" w:cs="宋体"/>
          <w:b w:val="0"/>
          <w:bCs w:val="0"/>
          <w:color w:val="auto"/>
          <w:sz w:val="22"/>
          <w:szCs w:val="22"/>
          <w:lang w:eastAsia="zh-CN"/>
        </w:rPr>
        <w:t>供应商</w:t>
      </w:r>
      <w:r>
        <w:rPr>
          <w:rFonts w:hint="eastAsia" w:ascii="宋体" w:hAnsi="宋体" w:eastAsia="宋体" w:cs="宋体"/>
          <w:b w:val="0"/>
          <w:bCs w:val="0"/>
          <w:color w:val="auto"/>
          <w:sz w:val="22"/>
          <w:szCs w:val="22"/>
        </w:rPr>
        <w:t>投标报价超出</w:t>
      </w:r>
      <w:r>
        <w:rPr>
          <w:rFonts w:hint="eastAsia" w:hAnsi="宋体" w:cs="宋体"/>
          <w:b w:val="0"/>
          <w:bCs w:val="0"/>
          <w:color w:val="auto"/>
          <w:sz w:val="22"/>
          <w:szCs w:val="22"/>
          <w:lang w:val="en-US" w:eastAsia="zh-CN"/>
        </w:rPr>
        <w:t>B包</w:t>
      </w:r>
      <w:r>
        <w:rPr>
          <w:rFonts w:hint="eastAsia" w:ascii="宋体" w:hAnsi="宋体" w:eastAsia="宋体" w:cs="宋体"/>
          <w:b w:val="0"/>
          <w:bCs w:val="0"/>
          <w:color w:val="auto"/>
          <w:sz w:val="22"/>
          <w:szCs w:val="22"/>
        </w:rPr>
        <w:t>预算金额（最高限价），按无效投标处理。</w:t>
      </w:r>
    </w:p>
    <w:p>
      <w:pPr>
        <w:spacing w:line="360" w:lineRule="auto"/>
        <w:rPr>
          <w:rFonts w:hint="eastAsia" w:ascii="Times New Roman" w:hAnsi="Times New Roman"/>
          <w:b/>
          <w:color w:val="auto"/>
          <w:sz w:val="24"/>
          <w:szCs w:val="24"/>
        </w:rPr>
      </w:pPr>
      <w:r>
        <w:rPr>
          <w:rFonts w:hint="eastAsia" w:ascii="Times New Roman" w:hAnsi="Times New Roman"/>
          <w:b/>
          <w:color w:val="auto"/>
          <w:sz w:val="24"/>
          <w:szCs w:val="24"/>
          <w:lang w:val="en-GB"/>
        </w:rPr>
        <w:t>二</w:t>
      </w:r>
      <w:r>
        <w:rPr>
          <w:rFonts w:hint="eastAsia" w:ascii="Times New Roman" w:hAnsi="Times New Roman"/>
          <w:b/>
          <w:color w:val="auto"/>
          <w:sz w:val="24"/>
          <w:szCs w:val="24"/>
          <w:lang w:val="en-GB" w:eastAsia="zh-CN"/>
        </w:rPr>
        <w:t>、</w:t>
      </w:r>
      <w:r>
        <w:rPr>
          <w:rFonts w:hint="eastAsia" w:ascii="Times New Roman" w:hAnsi="Times New Roman"/>
          <w:b/>
          <w:color w:val="auto"/>
          <w:sz w:val="24"/>
          <w:szCs w:val="24"/>
          <w:lang w:val="en-US" w:eastAsia="zh-CN"/>
        </w:rPr>
        <w:t>采购内容</w:t>
      </w:r>
      <w:r>
        <w:rPr>
          <w:rFonts w:hint="eastAsia" w:ascii="Times New Roman" w:hAnsi="Times New Roman"/>
          <w:b/>
          <w:color w:val="auto"/>
          <w:sz w:val="24"/>
          <w:szCs w:val="24"/>
        </w:rPr>
        <w:t>：</w:t>
      </w:r>
    </w:p>
    <w:p>
      <w:pPr>
        <w:keepNext w:val="0"/>
        <w:keepLines w:val="0"/>
        <w:widowControl/>
        <w:suppressLineNumbers w:val="0"/>
        <w:jc w:val="left"/>
        <w:rPr>
          <w:rFonts w:ascii="仿宋" w:hAnsi="仿宋" w:eastAsia="仿宋" w:cs="仿宋"/>
          <w:b/>
          <w:bCs/>
          <w:color w:val="auto"/>
          <w:kern w:val="0"/>
          <w:sz w:val="24"/>
          <w:szCs w:val="24"/>
          <w:lang w:val="en-US" w:eastAsia="zh-CN" w:bidi="ar"/>
        </w:rPr>
      </w:pPr>
    </w:p>
    <w:tbl>
      <w:tblPr>
        <w:tblStyle w:val="17"/>
        <w:tblW w:w="51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
        <w:gridCol w:w="1244"/>
        <w:gridCol w:w="4185"/>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海南省安宁医院2023年度公开招聘编内人员考务委托服务项目（B包）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序号</w:t>
            </w:r>
          </w:p>
        </w:tc>
        <w:tc>
          <w:tcPr>
            <w:tcW w:w="6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cs="宋体"/>
                <w:b/>
                <w:bCs/>
                <w:i w:val="0"/>
                <w:iCs w:val="0"/>
                <w:color w:val="auto"/>
                <w:sz w:val="24"/>
                <w:szCs w:val="24"/>
                <w:u w:val="none"/>
                <w:lang w:val="en-US" w:eastAsia="zh-CN"/>
              </w:rPr>
              <w:t>服务项目</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cs="宋体"/>
                <w:b/>
                <w:bCs/>
                <w:i w:val="0"/>
                <w:iCs w:val="0"/>
                <w:color w:val="auto"/>
                <w:kern w:val="0"/>
                <w:sz w:val="24"/>
                <w:szCs w:val="24"/>
                <w:u w:val="none"/>
                <w:lang w:val="en-US" w:eastAsia="zh-CN" w:bidi="ar"/>
              </w:rPr>
              <w:t>服务标准（</w:t>
            </w:r>
            <w:r>
              <w:rPr>
                <w:rFonts w:hint="eastAsia" w:ascii="宋体" w:hAnsi="宋体" w:eastAsia="宋体" w:cs="宋体"/>
                <w:i w:val="0"/>
                <w:iCs w:val="0"/>
                <w:color w:val="auto"/>
                <w:sz w:val="24"/>
                <w:szCs w:val="24"/>
                <w:u w:val="none"/>
              </w:rPr>
              <w:t xml:space="preserve">笔试按照 </w:t>
            </w:r>
            <w:r>
              <w:rPr>
                <w:rFonts w:hint="eastAsia" w:ascii="宋体" w:hAnsi="宋体" w:eastAsia="宋体" w:cs="宋体"/>
                <w:i w:val="0"/>
                <w:iCs w:val="0"/>
                <w:color w:val="auto"/>
                <w:sz w:val="24"/>
                <w:szCs w:val="24"/>
                <w:u w:val="none"/>
                <w:lang w:val="en-US" w:eastAsia="zh-CN"/>
              </w:rPr>
              <w:t>10</w:t>
            </w:r>
            <w:r>
              <w:rPr>
                <w:rFonts w:hint="eastAsia" w:ascii="宋体" w:hAnsi="宋体" w:eastAsia="宋体" w:cs="宋体"/>
                <w:i w:val="0"/>
                <w:iCs w:val="0"/>
                <w:color w:val="auto"/>
                <w:sz w:val="24"/>
                <w:szCs w:val="24"/>
                <w:u w:val="none"/>
              </w:rPr>
              <w:t>00 人，</w:t>
            </w:r>
            <w:r>
              <w:rPr>
                <w:rFonts w:hint="eastAsia" w:ascii="宋体" w:hAnsi="宋体" w:cs="宋体"/>
                <w:i w:val="0"/>
                <w:iCs w:val="0"/>
                <w:color w:val="auto"/>
                <w:sz w:val="24"/>
                <w:szCs w:val="24"/>
                <w:u w:val="none"/>
                <w:lang w:val="en-US" w:eastAsia="zh-CN"/>
              </w:rPr>
              <w:t>进入</w:t>
            </w:r>
            <w:r>
              <w:rPr>
                <w:rFonts w:hint="eastAsia" w:ascii="宋体" w:hAnsi="宋体" w:eastAsia="宋体" w:cs="宋体"/>
                <w:i w:val="0"/>
                <w:iCs w:val="0"/>
                <w:color w:val="auto"/>
                <w:sz w:val="24"/>
                <w:szCs w:val="24"/>
                <w:u w:val="none"/>
              </w:rPr>
              <w:t>面试</w:t>
            </w:r>
            <w:r>
              <w:rPr>
                <w:rFonts w:hint="eastAsia" w:ascii="宋体" w:hAnsi="宋体" w:eastAsia="宋体" w:cs="宋体"/>
                <w:i w:val="0"/>
                <w:iCs w:val="0"/>
                <w:color w:val="auto"/>
                <w:sz w:val="24"/>
                <w:szCs w:val="24"/>
                <w:u w:val="none"/>
                <w:lang w:val="en-US" w:eastAsia="zh-CN"/>
              </w:rPr>
              <w:t>100</w:t>
            </w:r>
            <w:r>
              <w:rPr>
                <w:rFonts w:hint="eastAsia" w:ascii="宋体" w:hAnsi="宋体" w:eastAsia="宋体" w:cs="宋体"/>
                <w:i w:val="0"/>
                <w:iCs w:val="0"/>
                <w:color w:val="auto"/>
                <w:sz w:val="24"/>
                <w:szCs w:val="24"/>
                <w:u w:val="none"/>
              </w:rPr>
              <w:t>人</w:t>
            </w:r>
            <w:r>
              <w:rPr>
                <w:rFonts w:hint="eastAsia" w:ascii="宋体" w:hAnsi="宋体" w:cs="宋体"/>
                <w:i w:val="0"/>
                <w:iCs w:val="0"/>
                <w:color w:val="auto"/>
                <w:sz w:val="24"/>
                <w:szCs w:val="24"/>
                <w:u w:val="none"/>
                <w:lang w:val="en-US" w:eastAsia="zh-CN"/>
              </w:rPr>
              <w:t>测算，</w:t>
            </w:r>
            <w:r>
              <w:rPr>
                <w:rFonts w:hint="eastAsia" w:ascii="宋体" w:hAnsi="宋体" w:eastAsia="宋体" w:cs="宋体"/>
                <w:i w:val="0"/>
                <w:iCs w:val="0"/>
                <w:color w:val="auto"/>
                <w:sz w:val="24"/>
                <w:szCs w:val="24"/>
                <w:u w:val="none"/>
              </w:rPr>
              <w:t>最终按照实际支出结算）</w:t>
            </w:r>
          </w:p>
        </w:tc>
        <w:tc>
          <w:tcPr>
            <w:tcW w:w="1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sz w:val="24"/>
                <w:szCs w:val="24"/>
                <w:u w:val="none"/>
                <w:lang w:val="en-US" w:eastAsia="zh-CN"/>
              </w:rPr>
              <w:t>一、</w:t>
            </w:r>
            <w:r>
              <w:rPr>
                <w:rFonts w:hint="eastAsia" w:hAnsi="宋体" w:cs="宋体"/>
                <w:i w:val="0"/>
                <w:iCs w:val="0"/>
                <w:color w:val="auto"/>
                <w:sz w:val="24"/>
                <w:szCs w:val="24"/>
                <w:u w:val="none"/>
                <w:lang w:val="en-US" w:eastAsia="zh-CN"/>
              </w:rPr>
              <w:t>准考证制作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信息录入</w:t>
            </w:r>
          </w:p>
        </w:tc>
        <w:tc>
          <w:tcPr>
            <w:tcW w:w="2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考生信息录入</w:t>
            </w:r>
          </w:p>
        </w:tc>
        <w:tc>
          <w:tcPr>
            <w:tcW w:w="1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准考证</w:t>
            </w:r>
          </w:p>
        </w:tc>
        <w:tc>
          <w:tcPr>
            <w:tcW w:w="2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准考证制作</w:t>
            </w:r>
          </w:p>
        </w:tc>
        <w:tc>
          <w:tcPr>
            <w:tcW w:w="1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二、笔试环节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考场租赁</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按照报名人数1000人</w:t>
            </w:r>
            <w:r>
              <w:rPr>
                <w:rFonts w:hint="eastAsia" w:hAnsi="宋体" w:cs="宋体"/>
                <w:i w:val="0"/>
                <w:iCs w:val="0"/>
                <w:color w:val="auto"/>
                <w:sz w:val="24"/>
                <w:szCs w:val="24"/>
                <w:u w:val="none"/>
                <w:lang w:val="en-US" w:eastAsia="zh-CN"/>
              </w:rPr>
              <w:t>测算</w:t>
            </w:r>
          </w:p>
        </w:tc>
        <w:tc>
          <w:tcPr>
            <w:tcW w:w="1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考场布置</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hAnsi="宋体" w:cs="宋体"/>
                <w:i w:val="0"/>
                <w:iCs w:val="0"/>
                <w:color w:val="auto"/>
                <w:sz w:val="24"/>
                <w:szCs w:val="24"/>
                <w:u w:val="none"/>
                <w:lang w:val="en-US" w:eastAsia="zh-CN"/>
              </w:rPr>
              <w:t>按照要求完成笔试</w:t>
            </w:r>
            <w:r>
              <w:rPr>
                <w:rFonts w:hint="eastAsia" w:ascii="宋体" w:hAnsi="宋体" w:cs="宋体"/>
                <w:i w:val="0"/>
                <w:iCs w:val="0"/>
                <w:color w:val="auto"/>
                <w:sz w:val="24"/>
                <w:szCs w:val="24"/>
                <w:u w:val="none"/>
                <w:lang w:val="en-US" w:eastAsia="zh-CN"/>
              </w:rPr>
              <w:t>考场布置</w:t>
            </w:r>
          </w:p>
        </w:tc>
        <w:tc>
          <w:tcPr>
            <w:tcW w:w="1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笔试工作人员</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hAnsi="宋体" w:cs="宋体"/>
                <w:i w:val="0"/>
                <w:iCs w:val="0"/>
                <w:color w:val="auto"/>
                <w:sz w:val="24"/>
                <w:szCs w:val="24"/>
                <w:u w:val="none"/>
                <w:lang w:val="en-US" w:eastAsia="zh-CN"/>
              </w:rPr>
              <w:t>包括</w:t>
            </w:r>
            <w:r>
              <w:rPr>
                <w:rFonts w:hint="eastAsia" w:ascii="宋体" w:hAnsi="宋体" w:eastAsia="宋体" w:cs="宋体"/>
                <w:i w:val="0"/>
                <w:iCs w:val="0"/>
                <w:color w:val="auto"/>
                <w:sz w:val="24"/>
                <w:szCs w:val="24"/>
                <w:u w:val="none"/>
              </w:rPr>
              <w:t>监考</w:t>
            </w:r>
            <w:r>
              <w:rPr>
                <w:rFonts w:hint="eastAsia" w:ascii="宋体" w:hAnsi="宋体" w:eastAsia="宋体" w:cs="宋体"/>
                <w:i w:val="0"/>
                <w:iCs w:val="0"/>
                <w:color w:val="auto"/>
                <w:sz w:val="24"/>
                <w:szCs w:val="24"/>
                <w:u w:val="none"/>
                <w:lang w:val="en-US" w:eastAsia="zh-CN"/>
              </w:rPr>
              <w:t>员</w:t>
            </w:r>
            <w:r>
              <w:rPr>
                <w:rFonts w:hint="eastAsia" w:ascii="宋体" w:hAnsi="宋体" w:eastAsia="宋体" w:cs="宋体"/>
                <w:i w:val="0"/>
                <w:iCs w:val="0"/>
                <w:color w:val="auto"/>
                <w:sz w:val="24"/>
                <w:szCs w:val="24"/>
                <w:u w:val="none"/>
              </w:rPr>
              <w:t>、巡考员、主副考、</w:t>
            </w:r>
            <w:r>
              <w:rPr>
                <w:rFonts w:hint="eastAsia" w:hAnsi="宋体" w:cs="宋体"/>
                <w:i w:val="0"/>
                <w:iCs w:val="0"/>
                <w:color w:val="auto"/>
                <w:sz w:val="24"/>
                <w:szCs w:val="24"/>
                <w:u w:val="none"/>
                <w:lang w:val="en-US" w:eastAsia="zh-CN"/>
              </w:rPr>
              <w:t>保安保洁等工作</w:t>
            </w:r>
            <w:r>
              <w:rPr>
                <w:rFonts w:hint="eastAsia" w:ascii="宋体" w:hAnsi="宋体" w:eastAsia="宋体" w:cs="宋体"/>
                <w:i w:val="0"/>
                <w:iCs w:val="0"/>
                <w:color w:val="auto"/>
                <w:sz w:val="24"/>
                <w:szCs w:val="24"/>
                <w:u w:val="none"/>
                <w:lang w:val="en-US" w:eastAsia="zh-CN"/>
              </w:rPr>
              <w:t>人员</w:t>
            </w:r>
            <w:r>
              <w:rPr>
                <w:rFonts w:hint="eastAsia" w:hAnsi="宋体" w:cs="宋体"/>
                <w:i w:val="0"/>
                <w:iCs w:val="0"/>
                <w:color w:val="auto"/>
                <w:sz w:val="24"/>
                <w:szCs w:val="24"/>
                <w:u w:val="none"/>
                <w:lang w:val="en-US" w:eastAsia="zh-CN"/>
              </w:rPr>
              <w:t>保证笔试组织顺利开展</w:t>
            </w:r>
          </w:p>
        </w:tc>
        <w:tc>
          <w:tcPr>
            <w:tcW w:w="1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三、面试环节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面试场地租赁</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按照100人入围面试测算</w:t>
            </w:r>
          </w:p>
        </w:tc>
        <w:tc>
          <w:tcPr>
            <w:tcW w:w="1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面试场地布置</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hAnsi="宋体" w:cs="宋体"/>
                <w:i w:val="0"/>
                <w:iCs w:val="0"/>
                <w:color w:val="auto"/>
                <w:sz w:val="24"/>
                <w:szCs w:val="24"/>
                <w:u w:val="none"/>
                <w:lang w:val="en-US" w:eastAsia="zh-CN"/>
              </w:rPr>
              <w:t>按照要求完成</w:t>
            </w:r>
            <w:r>
              <w:rPr>
                <w:rFonts w:hint="eastAsia" w:ascii="宋体" w:hAnsi="宋体" w:cs="宋体"/>
                <w:i w:val="0"/>
                <w:iCs w:val="0"/>
                <w:color w:val="auto"/>
                <w:sz w:val="24"/>
                <w:szCs w:val="24"/>
                <w:u w:val="none"/>
                <w:lang w:val="en-US" w:eastAsia="zh-CN"/>
              </w:rPr>
              <w:t>面试场地布置</w:t>
            </w:r>
          </w:p>
        </w:tc>
        <w:tc>
          <w:tcPr>
            <w:tcW w:w="1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hAnsi="宋体" w:cs="宋体"/>
                <w:i w:val="0"/>
                <w:iCs w:val="0"/>
                <w:color w:val="auto"/>
                <w:sz w:val="24"/>
                <w:szCs w:val="24"/>
                <w:u w:val="none"/>
                <w:lang w:val="en-US" w:eastAsia="zh-CN"/>
              </w:rPr>
              <w:t>面试考官</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hAnsi="宋体" w:cs="宋体"/>
                <w:i w:val="0"/>
                <w:iCs w:val="0"/>
                <w:color w:val="auto"/>
                <w:sz w:val="24"/>
                <w:szCs w:val="24"/>
                <w:u w:val="none"/>
                <w:lang w:val="en-US" w:eastAsia="zh-CN"/>
              </w:rPr>
              <w:t>组织10名面试考官负责考生面试遴选</w:t>
            </w:r>
          </w:p>
        </w:tc>
        <w:tc>
          <w:tcPr>
            <w:tcW w:w="1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面试工作人员</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lang w:val="en-US" w:eastAsia="zh-CN"/>
              </w:rPr>
            </w:pPr>
            <w:r>
              <w:rPr>
                <w:rFonts w:hint="eastAsia" w:hAnsi="宋体" w:cs="宋体"/>
                <w:i w:val="0"/>
                <w:iCs w:val="0"/>
                <w:color w:val="auto"/>
                <w:sz w:val="24"/>
                <w:szCs w:val="24"/>
                <w:u w:val="none"/>
                <w:lang w:val="en-US" w:eastAsia="zh-CN"/>
              </w:rPr>
              <w:t>包括</w:t>
            </w:r>
            <w:r>
              <w:rPr>
                <w:rFonts w:hint="eastAsia" w:ascii="宋体" w:hAnsi="宋体" w:eastAsia="宋体" w:cs="宋体"/>
                <w:i w:val="0"/>
                <w:iCs w:val="0"/>
                <w:color w:val="auto"/>
                <w:sz w:val="24"/>
                <w:szCs w:val="24"/>
                <w:u w:val="none"/>
              </w:rPr>
              <w:t>计时员、核分员、计分员、引导员</w:t>
            </w:r>
            <w:r>
              <w:rPr>
                <w:rFonts w:hint="eastAsia" w:hAnsi="宋体" w:cs="宋体"/>
                <w:i w:val="0"/>
                <w:iCs w:val="0"/>
                <w:color w:val="auto"/>
                <w:sz w:val="24"/>
                <w:szCs w:val="24"/>
                <w:u w:val="none"/>
                <w:lang w:val="en-US" w:eastAsia="zh-CN"/>
              </w:rPr>
              <w:t>等面试工作人</w:t>
            </w:r>
            <w:r>
              <w:rPr>
                <w:rFonts w:hint="eastAsia" w:ascii="宋体" w:hAnsi="宋体" w:eastAsia="宋体" w:cs="宋体"/>
                <w:i w:val="0"/>
                <w:iCs w:val="0"/>
                <w:color w:val="auto"/>
                <w:sz w:val="24"/>
                <w:szCs w:val="24"/>
                <w:u w:val="none"/>
              </w:rPr>
              <w:t>员</w:t>
            </w:r>
            <w:r>
              <w:rPr>
                <w:rFonts w:hint="eastAsia" w:hAnsi="宋体" w:cs="宋体"/>
                <w:i w:val="0"/>
                <w:iCs w:val="0"/>
                <w:color w:val="auto"/>
                <w:sz w:val="24"/>
                <w:szCs w:val="24"/>
                <w:u w:val="none"/>
                <w:lang w:val="en-US" w:eastAsia="zh-CN"/>
              </w:rPr>
              <w:t>保证面试组织顺利开展</w:t>
            </w:r>
          </w:p>
        </w:tc>
        <w:tc>
          <w:tcPr>
            <w:tcW w:w="1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四、其他费用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0</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餐饮费</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面试工作人员、</w:t>
            </w:r>
            <w:r>
              <w:rPr>
                <w:rFonts w:hint="eastAsia" w:hAnsi="宋体" w:cs="宋体"/>
                <w:i w:val="0"/>
                <w:iCs w:val="0"/>
                <w:color w:val="auto"/>
                <w:sz w:val="24"/>
                <w:szCs w:val="24"/>
                <w:u w:val="none"/>
                <w:lang w:val="en-US" w:eastAsia="zh-CN"/>
              </w:rPr>
              <w:t>面试</w:t>
            </w:r>
            <w:r>
              <w:rPr>
                <w:rFonts w:hint="eastAsia" w:ascii="宋体" w:hAnsi="宋体" w:cs="宋体"/>
                <w:i w:val="0"/>
                <w:iCs w:val="0"/>
                <w:color w:val="auto"/>
                <w:sz w:val="24"/>
                <w:szCs w:val="24"/>
                <w:u w:val="none"/>
                <w:lang w:val="en-US" w:eastAsia="zh-CN"/>
              </w:rPr>
              <w:t>考官及考生餐饮费</w:t>
            </w:r>
          </w:p>
        </w:tc>
        <w:tc>
          <w:tcPr>
            <w:tcW w:w="1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五、项目服务费及税费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1</w:t>
            </w:r>
          </w:p>
        </w:tc>
        <w:tc>
          <w:tcPr>
            <w:tcW w:w="698" w:type="pct"/>
            <w:vMerge w:val="restart"/>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服务费和发票税点</w:t>
            </w: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项目服务费</w:t>
            </w:r>
          </w:p>
        </w:tc>
        <w:tc>
          <w:tcPr>
            <w:tcW w:w="1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2</w:t>
            </w:r>
          </w:p>
        </w:tc>
        <w:tc>
          <w:tcPr>
            <w:tcW w:w="698" w:type="pct"/>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p>
        </w:tc>
        <w:tc>
          <w:tcPr>
            <w:tcW w:w="2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发票税点费</w:t>
            </w:r>
          </w:p>
        </w:tc>
        <w:tc>
          <w:tcPr>
            <w:tcW w:w="1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bl>
    <w:p>
      <w:pPr>
        <w:pStyle w:val="16"/>
        <w:ind w:left="0" w:leftChars="0" w:firstLine="0" w:firstLineChars="0"/>
        <w:rPr>
          <w:rFonts w:hint="eastAsia" w:ascii="仿宋" w:hAnsi="仿宋" w:eastAsia="仿宋" w:cs="仿宋"/>
          <w:b/>
          <w:bCs/>
          <w:color w:val="auto"/>
          <w:kern w:val="0"/>
          <w:sz w:val="24"/>
          <w:szCs w:val="24"/>
          <w:lang w:val="en-US" w:eastAsia="zh-CN" w:bidi="ar"/>
        </w:rPr>
      </w:pPr>
    </w:p>
    <w:p>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b/>
          <w:bCs/>
          <w:color w:val="auto"/>
          <w:kern w:val="0"/>
          <w:sz w:val="22"/>
          <w:szCs w:val="22"/>
          <w:lang w:val="en-US" w:eastAsia="zh-CN" w:bidi="ar"/>
        </w:rPr>
        <w:t xml:space="preserve">二、商务要求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1.服务期：自合同签订之日起60日历天。</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2.服务地点（履行地点）：签订合同时与采购人根据需求确定合同服务地点。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3.服务方式（履行方式）：签订合同时与采购人协商实施。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4.安全标准：符合国家、地方和行业的相关政策、法规。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5.法律法规规定的强制性标准：海南省事业单位公开招聘工作人员笔试工作规则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(试行) 《琼人社规〔2021〕2 号》规定。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6.验收方法及标准：按本竞争性磋商文件和响应文件的内容及国家、地方和行业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的相关政策、法规实施。 </w:t>
      </w:r>
    </w:p>
    <w:p>
      <w:pPr>
        <w:spacing w:line="360" w:lineRule="auto"/>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 xml:space="preserve">三、其他要求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1.投标报价含笔试考试考务费用、面试考试考官费用、面试考试考务费用、面试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用餐及一切应付税费等。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2.成交人须在招聘考试时间前 1 个工作日将所有考试的场地布置好并经采购人同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意确认。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3.笔试考务工作人员劳务费、面试考试考官劳务费、面试考务工作人员劳务费及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面试餐费为固定费用，投标人投标时不可更改。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4.所有考试场地的布置须符合海南省考试体例要求。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5.报价人必须根据所报产品的技术参数、资质资料编写响应文件。在成交结果公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告期间，采购人有权对成交候选人所报产品的资质证书等进行核查，如发现与其响应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文件中的描述不一，将报政府采购主管部门严肃处理。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 xml:space="preserve">6. 采购人不再二次投入，此次报价中包含了所有租赁及服务的购置和安装、运输 </w:t>
      </w:r>
    </w:p>
    <w:p>
      <w:p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保险、装卸、培训辅导、质保期售后服务、全额含税发票、雇员费用等相关费用。</w:t>
      </w:r>
    </w:p>
    <w:p>
      <w:pPr>
        <w:spacing w:line="480" w:lineRule="exact"/>
        <w:jc w:val="both"/>
        <w:rPr>
          <w:rFonts w:hint="default"/>
          <w:b/>
          <w:bCs/>
          <w:color w:val="auto"/>
          <w:sz w:val="28"/>
          <w:szCs w:val="36"/>
          <w:lang w:val="en-US" w:eastAsia="zh-CN"/>
        </w:rPr>
      </w:pPr>
      <w:r>
        <w:rPr>
          <w:b/>
          <w:bCs/>
          <w:color w:val="auto"/>
          <w:sz w:val="36"/>
          <w:szCs w:val="36"/>
          <w:shd w:val="clear" w:color="auto" w:fill="FFFFFF"/>
        </w:rPr>
        <w:br w:type="page"/>
      </w:r>
      <w:r>
        <w:rPr>
          <w:b/>
          <w:bCs/>
          <w:color w:val="auto"/>
          <w:sz w:val="36"/>
          <w:szCs w:val="36"/>
          <w:shd w:val="clear" w:color="auto" w:fill="FFFFFF"/>
        </w:rPr>
        <w:t>海南省安宁医院2023年公开招聘工作人员岗位表</w:t>
      </w:r>
    </w:p>
    <w:tbl>
      <w:tblPr>
        <w:tblStyle w:val="17"/>
        <w:tblW w:w="10572" w:type="dxa"/>
        <w:jc w:val="center"/>
        <w:tblLayout w:type="fixed"/>
        <w:tblCellMar>
          <w:top w:w="0" w:type="dxa"/>
          <w:left w:w="108" w:type="dxa"/>
          <w:bottom w:w="0" w:type="dxa"/>
          <w:right w:w="108" w:type="dxa"/>
        </w:tblCellMar>
      </w:tblPr>
      <w:tblGrid>
        <w:gridCol w:w="462"/>
        <w:gridCol w:w="1035"/>
        <w:gridCol w:w="1935"/>
        <w:gridCol w:w="990"/>
        <w:gridCol w:w="990"/>
        <w:gridCol w:w="735"/>
        <w:gridCol w:w="855"/>
        <w:gridCol w:w="810"/>
        <w:gridCol w:w="975"/>
        <w:gridCol w:w="1785"/>
      </w:tblGrid>
      <w:tr>
        <w:tblPrEx>
          <w:tblCellMar>
            <w:top w:w="0" w:type="dxa"/>
            <w:left w:w="108" w:type="dxa"/>
            <w:bottom w:w="0" w:type="dxa"/>
            <w:right w:w="108" w:type="dxa"/>
          </w:tblCellMar>
        </w:tblPrEx>
        <w:trPr>
          <w:trHeight w:val="965" w:hRule="atLeast"/>
          <w:tblHeader/>
          <w:jc w:val="center"/>
        </w:trPr>
        <w:tc>
          <w:tcPr>
            <w:tcW w:w="462" w:type="dxa"/>
            <w:tcBorders>
              <w:top w:val="single" w:color="auto" w:sz="4" w:space="0"/>
              <w:left w:val="single" w:color="auto" w:sz="8" w:space="0"/>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序号</w:t>
            </w:r>
          </w:p>
        </w:tc>
        <w:tc>
          <w:tcPr>
            <w:tcW w:w="1035" w:type="dxa"/>
            <w:tcBorders>
              <w:top w:val="single" w:color="auto" w:sz="4" w:space="0"/>
              <w:left w:val="nil"/>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招聘</w:t>
            </w:r>
          </w:p>
          <w:p>
            <w:pPr>
              <w:widowControl/>
              <w:jc w:val="center"/>
              <w:rPr>
                <w:rFonts w:eastAsia="黑体"/>
                <w:color w:val="auto"/>
                <w:kern w:val="0"/>
                <w:sz w:val="24"/>
              </w:rPr>
            </w:pPr>
            <w:r>
              <w:rPr>
                <w:rFonts w:eastAsia="黑体"/>
                <w:color w:val="auto"/>
                <w:kern w:val="0"/>
                <w:sz w:val="24"/>
              </w:rPr>
              <w:t>岗位</w:t>
            </w:r>
          </w:p>
        </w:tc>
        <w:tc>
          <w:tcPr>
            <w:tcW w:w="1935" w:type="dxa"/>
            <w:tcBorders>
              <w:top w:val="single" w:color="auto" w:sz="4" w:space="0"/>
              <w:left w:val="nil"/>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专业、专业目录代码</w:t>
            </w:r>
          </w:p>
        </w:tc>
        <w:tc>
          <w:tcPr>
            <w:tcW w:w="990" w:type="dxa"/>
            <w:tcBorders>
              <w:top w:val="single" w:color="auto" w:sz="4" w:space="0"/>
              <w:left w:val="nil"/>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学历</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学位</w:t>
            </w: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招聘人数</w:t>
            </w:r>
          </w:p>
        </w:tc>
        <w:tc>
          <w:tcPr>
            <w:tcW w:w="855" w:type="dxa"/>
            <w:tcBorders>
              <w:top w:val="single" w:color="auto" w:sz="4" w:space="0"/>
              <w:left w:val="nil"/>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年龄</w:t>
            </w:r>
          </w:p>
        </w:tc>
        <w:tc>
          <w:tcPr>
            <w:tcW w:w="810" w:type="dxa"/>
            <w:tcBorders>
              <w:top w:val="single" w:color="auto" w:sz="4" w:space="0"/>
              <w:left w:val="nil"/>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招聘方式</w:t>
            </w:r>
          </w:p>
        </w:tc>
        <w:tc>
          <w:tcPr>
            <w:tcW w:w="975" w:type="dxa"/>
            <w:tcBorders>
              <w:top w:val="single" w:color="auto" w:sz="4" w:space="0"/>
              <w:left w:val="nil"/>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岗位</w:t>
            </w:r>
          </w:p>
          <w:p>
            <w:pPr>
              <w:widowControl/>
              <w:jc w:val="center"/>
              <w:rPr>
                <w:rFonts w:eastAsia="黑体"/>
                <w:color w:val="auto"/>
                <w:kern w:val="0"/>
                <w:sz w:val="24"/>
              </w:rPr>
            </w:pPr>
            <w:r>
              <w:rPr>
                <w:rFonts w:eastAsia="黑体"/>
                <w:color w:val="auto"/>
                <w:kern w:val="0"/>
                <w:sz w:val="24"/>
              </w:rPr>
              <w:t>类型</w:t>
            </w:r>
          </w:p>
        </w:tc>
        <w:tc>
          <w:tcPr>
            <w:tcW w:w="1785" w:type="dxa"/>
            <w:tcBorders>
              <w:top w:val="single" w:color="auto" w:sz="4" w:space="0"/>
              <w:left w:val="nil"/>
              <w:bottom w:val="single" w:color="auto" w:sz="8"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其他有关条件</w:t>
            </w:r>
          </w:p>
        </w:tc>
      </w:tr>
      <w:tr>
        <w:tblPrEx>
          <w:tblCellMar>
            <w:top w:w="0" w:type="dxa"/>
            <w:left w:w="108" w:type="dxa"/>
            <w:bottom w:w="0" w:type="dxa"/>
            <w:right w:w="108" w:type="dxa"/>
          </w:tblCellMar>
        </w:tblPrEx>
        <w:trPr>
          <w:trHeight w:val="946" w:hRule="atLeast"/>
          <w:tblHeader/>
          <w:jc w:val="center"/>
        </w:trPr>
        <w:tc>
          <w:tcPr>
            <w:tcW w:w="462" w:type="dxa"/>
            <w:tcBorders>
              <w:top w:val="nil"/>
              <w:left w:val="single" w:color="auto" w:sz="8" w:space="0"/>
              <w:bottom w:val="single" w:color="auto" w:sz="4" w:space="0"/>
              <w:right w:val="single" w:color="auto" w:sz="8" w:space="0"/>
            </w:tcBorders>
            <w:noWrap/>
            <w:vAlign w:val="center"/>
          </w:tcPr>
          <w:p>
            <w:pPr>
              <w:jc w:val="center"/>
              <w:rPr>
                <w:color w:val="auto"/>
                <w:kern w:val="0"/>
                <w:sz w:val="24"/>
              </w:rPr>
            </w:pPr>
            <w:r>
              <w:rPr>
                <w:color w:val="auto"/>
                <w:kern w:val="0"/>
                <w:sz w:val="24"/>
              </w:rPr>
              <w:t>1</w:t>
            </w:r>
          </w:p>
        </w:tc>
        <w:tc>
          <w:tcPr>
            <w:tcW w:w="1035" w:type="dxa"/>
            <w:tcBorders>
              <w:top w:val="nil"/>
              <w:left w:val="nil"/>
              <w:bottom w:val="single" w:color="auto" w:sz="4" w:space="0"/>
              <w:right w:val="single" w:color="auto" w:sz="8" w:space="0"/>
            </w:tcBorders>
            <w:noWrap/>
            <w:vAlign w:val="center"/>
          </w:tcPr>
          <w:p>
            <w:pPr>
              <w:jc w:val="center"/>
              <w:rPr>
                <w:b/>
                <w:color w:val="auto"/>
                <w:kern w:val="0"/>
                <w:sz w:val="24"/>
              </w:rPr>
            </w:pPr>
            <w:r>
              <w:rPr>
                <w:b/>
                <w:color w:val="auto"/>
                <w:kern w:val="0"/>
                <w:sz w:val="24"/>
              </w:rPr>
              <w:t>中医</w:t>
            </w:r>
            <w:r>
              <w:rPr>
                <w:rFonts w:hint="eastAsia"/>
                <w:b/>
                <w:color w:val="auto"/>
                <w:kern w:val="0"/>
                <w:sz w:val="24"/>
              </w:rPr>
              <w:t>医师</w:t>
            </w:r>
          </w:p>
        </w:tc>
        <w:tc>
          <w:tcPr>
            <w:tcW w:w="1935"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中西医结合临床（</w:t>
            </w:r>
            <w:r>
              <w:rPr>
                <w:rFonts w:hint="eastAsia"/>
                <w:color w:val="auto"/>
                <w:kern w:val="0"/>
                <w:sz w:val="24"/>
              </w:rPr>
              <w:t>100602</w:t>
            </w:r>
            <w:r>
              <w:rPr>
                <w:color w:val="auto"/>
                <w:kern w:val="0"/>
                <w:sz w:val="24"/>
              </w:rPr>
              <w:t>）</w:t>
            </w:r>
          </w:p>
        </w:tc>
        <w:tc>
          <w:tcPr>
            <w:tcW w:w="99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研究生</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硕士学位及以上</w:t>
            </w: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1</w:t>
            </w:r>
          </w:p>
        </w:tc>
        <w:tc>
          <w:tcPr>
            <w:tcW w:w="85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30周岁及以下</w:t>
            </w:r>
          </w:p>
        </w:tc>
        <w:tc>
          <w:tcPr>
            <w:tcW w:w="810"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考核</w:t>
            </w:r>
          </w:p>
        </w:tc>
        <w:tc>
          <w:tcPr>
            <w:tcW w:w="97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nil"/>
              <w:left w:val="nil"/>
              <w:bottom w:val="single" w:color="auto" w:sz="8" w:space="0"/>
              <w:right w:val="single" w:color="auto" w:sz="8" w:space="0"/>
            </w:tcBorders>
            <w:noWrap/>
            <w:vAlign w:val="center"/>
          </w:tcPr>
          <w:p>
            <w:pPr>
              <w:widowControl/>
              <w:jc w:val="left"/>
              <w:rPr>
                <w:color w:val="auto"/>
                <w:kern w:val="0"/>
                <w:sz w:val="24"/>
              </w:rPr>
            </w:pPr>
          </w:p>
        </w:tc>
      </w:tr>
      <w:tr>
        <w:tblPrEx>
          <w:tblCellMar>
            <w:top w:w="0" w:type="dxa"/>
            <w:left w:w="108" w:type="dxa"/>
            <w:bottom w:w="0" w:type="dxa"/>
            <w:right w:w="108" w:type="dxa"/>
          </w:tblCellMar>
        </w:tblPrEx>
        <w:trPr>
          <w:trHeight w:val="946" w:hRule="atLeast"/>
          <w:tblHeader/>
          <w:jc w:val="center"/>
        </w:trPr>
        <w:tc>
          <w:tcPr>
            <w:tcW w:w="462" w:type="dxa"/>
            <w:tcBorders>
              <w:top w:val="nil"/>
              <w:left w:val="single" w:color="auto" w:sz="8" w:space="0"/>
              <w:bottom w:val="single" w:color="auto" w:sz="4" w:space="0"/>
              <w:right w:val="single" w:color="auto" w:sz="8" w:space="0"/>
            </w:tcBorders>
            <w:noWrap/>
            <w:vAlign w:val="center"/>
          </w:tcPr>
          <w:p>
            <w:pPr>
              <w:jc w:val="center"/>
              <w:rPr>
                <w:color w:val="auto"/>
                <w:kern w:val="0"/>
                <w:sz w:val="24"/>
              </w:rPr>
            </w:pPr>
            <w:r>
              <w:rPr>
                <w:color w:val="auto"/>
                <w:kern w:val="0"/>
                <w:sz w:val="24"/>
              </w:rPr>
              <w:t>2</w:t>
            </w:r>
          </w:p>
        </w:tc>
        <w:tc>
          <w:tcPr>
            <w:tcW w:w="1035" w:type="dxa"/>
            <w:tcBorders>
              <w:top w:val="nil"/>
              <w:left w:val="nil"/>
              <w:bottom w:val="single" w:color="auto" w:sz="4" w:space="0"/>
              <w:right w:val="single" w:color="auto" w:sz="8" w:space="0"/>
            </w:tcBorders>
            <w:noWrap/>
            <w:vAlign w:val="center"/>
          </w:tcPr>
          <w:p>
            <w:pPr>
              <w:jc w:val="center"/>
              <w:rPr>
                <w:b/>
                <w:color w:val="auto"/>
                <w:kern w:val="0"/>
                <w:sz w:val="24"/>
              </w:rPr>
            </w:pPr>
            <w:r>
              <w:rPr>
                <w:b/>
                <w:color w:val="auto"/>
                <w:kern w:val="0"/>
                <w:sz w:val="24"/>
              </w:rPr>
              <w:t>内科</w:t>
            </w:r>
            <w:r>
              <w:rPr>
                <w:rFonts w:hint="eastAsia"/>
                <w:b/>
                <w:color w:val="auto"/>
                <w:kern w:val="0"/>
                <w:sz w:val="24"/>
              </w:rPr>
              <w:t>医师</w:t>
            </w:r>
          </w:p>
        </w:tc>
        <w:tc>
          <w:tcPr>
            <w:tcW w:w="1935"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神经病学</w:t>
            </w:r>
          </w:p>
          <w:p>
            <w:pPr>
              <w:widowControl/>
              <w:jc w:val="center"/>
              <w:rPr>
                <w:color w:val="auto"/>
                <w:kern w:val="0"/>
                <w:sz w:val="24"/>
              </w:rPr>
            </w:pPr>
            <w:r>
              <w:rPr>
                <w:color w:val="auto"/>
                <w:kern w:val="0"/>
                <w:sz w:val="24"/>
              </w:rPr>
              <w:t>（</w:t>
            </w:r>
            <w:r>
              <w:rPr>
                <w:rFonts w:hint="eastAsia"/>
                <w:color w:val="auto"/>
                <w:kern w:val="0"/>
                <w:sz w:val="24"/>
              </w:rPr>
              <w:t>100204</w:t>
            </w:r>
            <w:r>
              <w:rPr>
                <w:color w:val="auto"/>
                <w:kern w:val="0"/>
                <w:sz w:val="24"/>
              </w:rPr>
              <w:t>）</w:t>
            </w:r>
          </w:p>
        </w:tc>
        <w:tc>
          <w:tcPr>
            <w:tcW w:w="99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研究生</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硕士学位及以上</w:t>
            </w: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1</w:t>
            </w:r>
          </w:p>
        </w:tc>
        <w:tc>
          <w:tcPr>
            <w:tcW w:w="85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30周岁及以下</w:t>
            </w:r>
          </w:p>
        </w:tc>
        <w:tc>
          <w:tcPr>
            <w:tcW w:w="810"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考核</w:t>
            </w:r>
          </w:p>
        </w:tc>
        <w:tc>
          <w:tcPr>
            <w:tcW w:w="97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nil"/>
              <w:left w:val="nil"/>
              <w:bottom w:val="single" w:color="auto" w:sz="8" w:space="0"/>
              <w:right w:val="single" w:color="auto" w:sz="8" w:space="0"/>
            </w:tcBorders>
            <w:noWrap/>
            <w:vAlign w:val="center"/>
          </w:tcPr>
          <w:p>
            <w:pPr>
              <w:widowControl/>
              <w:jc w:val="left"/>
              <w:rPr>
                <w:color w:val="auto"/>
                <w:kern w:val="0"/>
                <w:sz w:val="24"/>
              </w:rPr>
            </w:pPr>
          </w:p>
        </w:tc>
      </w:tr>
      <w:tr>
        <w:tblPrEx>
          <w:tblCellMar>
            <w:top w:w="0" w:type="dxa"/>
            <w:left w:w="108" w:type="dxa"/>
            <w:bottom w:w="0" w:type="dxa"/>
            <w:right w:w="108" w:type="dxa"/>
          </w:tblCellMar>
        </w:tblPrEx>
        <w:trPr>
          <w:trHeight w:val="946" w:hRule="atLeast"/>
          <w:tblHeader/>
          <w:jc w:val="center"/>
        </w:trPr>
        <w:tc>
          <w:tcPr>
            <w:tcW w:w="462" w:type="dxa"/>
            <w:tcBorders>
              <w:top w:val="single" w:color="auto" w:sz="4" w:space="0"/>
              <w:left w:val="single" w:color="auto" w:sz="8" w:space="0"/>
              <w:bottom w:val="single" w:color="auto" w:sz="4" w:space="0"/>
              <w:right w:val="single" w:color="auto" w:sz="8" w:space="0"/>
            </w:tcBorders>
            <w:noWrap/>
            <w:vAlign w:val="center"/>
          </w:tcPr>
          <w:p>
            <w:pPr>
              <w:jc w:val="center"/>
              <w:rPr>
                <w:color w:val="auto"/>
                <w:kern w:val="0"/>
                <w:sz w:val="24"/>
              </w:rPr>
            </w:pPr>
            <w:r>
              <w:rPr>
                <w:color w:val="auto"/>
                <w:kern w:val="0"/>
                <w:sz w:val="24"/>
              </w:rPr>
              <w:t>3</w:t>
            </w:r>
          </w:p>
        </w:tc>
        <w:tc>
          <w:tcPr>
            <w:tcW w:w="1035" w:type="dxa"/>
            <w:tcBorders>
              <w:top w:val="single" w:color="auto" w:sz="4" w:space="0"/>
              <w:left w:val="nil"/>
              <w:bottom w:val="single" w:color="auto" w:sz="4" w:space="0"/>
              <w:right w:val="single" w:color="auto" w:sz="8" w:space="0"/>
            </w:tcBorders>
            <w:noWrap/>
            <w:vAlign w:val="center"/>
          </w:tcPr>
          <w:p>
            <w:pPr>
              <w:widowControl/>
              <w:jc w:val="center"/>
              <w:rPr>
                <w:b/>
                <w:color w:val="auto"/>
                <w:kern w:val="0"/>
                <w:sz w:val="24"/>
              </w:rPr>
            </w:pPr>
            <w:r>
              <w:rPr>
                <w:b/>
                <w:color w:val="auto"/>
                <w:kern w:val="0"/>
                <w:sz w:val="24"/>
              </w:rPr>
              <w:t>公卫医师</w:t>
            </w:r>
          </w:p>
        </w:tc>
        <w:tc>
          <w:tcPr>
            <w:tcW w:w="1935"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公共卫生</w:t>
            </w:r>
            <w:r>
              <w:rPr>
                <w:rFonts w:hint="eastAsia"/>
                <w:color w:val="auto"/>
                <w:kern w:val="0"/>
                <w:sz w:val="24"/>
              </w:rPr>
              <w:t>与预防医学</w:t>
            </w:r>
            <w:r>
              <w:rPr>
                <w:color w:val="auto"/>
                <w:kern w:val="0"/>
                <w:sz w:val="24"/>
              </w:rPr>
              <w:t>（</w:t>
            </w:r>
            <w:r>
              <w:rPr>
                <w:rFonts w:hint="eastAsia"/>
                <w:color w:val="auto"/>
                <w:kern w:val="0"/>
                <w:sz w:val="24"/>
              </w:rPr>
              <w:t>1004</w:t>
            </w:r>
            <w:r>
              <w:rPr>
                <w:color w:val="auto"/>
                <w:kern w:val="0"/>
                <w:sz w:val="24"/>
              </w:rPr>
              <w:t>）</w:t>
            </w:r>
            <w:r>
              <w:rPr>
                <w:rFonts w:hint="eastAsia"/>
                <w:color w:val="auto"/>
                <w:kern w:val="0"/>
                <w:sz w:val="24"/>
              </w:rPr>
              <w:t>、公共卫生（1053）</w:t>
            </w:r>
          </w:p>
        </w:tc>
        <w:tc>
          <w:tcPr>
            <w:tcW w:w="99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研究生</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硕士学位及以上</w:t>
            </w: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1</w:t>
            </w:r>
          </w:p>
        </w:tc>
        <w:tc>
          <w:tcPr>
            <w:tcW w:w="85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30周岁及以下</w:t>
            </w:r>
          </w:p>
        </w:tc>
        <w:tc>
          <w:tcPr>
            <w:tcW w:w="810"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考核</w:t>
            </w:r>
          </w:p>
        </w:tc>
        <w:tc>
          <w:tcPr>
            <w:tcW w:w="97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nil"/>
              <w:left w:val="nil"/>
              <w:bottom w:val="single" w:color="auto" w:sz="8" w:space="0"/>
              <w:right w:val="single" w:color="auto" w:sz="8" w:space="0"/>
            </w:tcBorders>
            <w:noWrap/>
            <w:vAlign w:val="center"/>
          </w:tcPr>
          <w:p>
            <w:pPr>
              <w:widowControl/>
              <w:jc w:val="left"/>
              <w:rPr>
                <w:color w:val="auto"/>
                <w:kern w:val="0"/>
                <w:sz w:val="24"/>
              </w:rPr>
            </w:pPr>
          </w:p>
        </w:tc>
      </w:tr>
      <w:tr>
        <w:tblPrEx>
          <w:tblCellMar>
            <w:top w:w="0" w:type="dxa"/>
            <w:left w:w="108" w:type="dxa"/>
            <w:bottom w:w="0" w:type="dxa"/>
            <w:right w:w="108" w:type="dxa"/>
          </w:tblCellMar>
        </w:tblPrEx>
        <w:trPr>
          <w:trHeight w:val="1228" w:hRule="atLeast"/>
          <w:tblHeader/>
          <w:jc w:val="center"/>
        </w:trPr>
        <w:tc>
          <w:tcPr>
            <w:tcW w:w="462" w:type="dxa"/>
            <w:tcBorders>
              <w:top w:val="single" w:color="auto" w:sz="4" w:space="0"/>
              <w:left w:val="single" w:color="auto" w:sz="8" w:space="0"/>
              <w:bottom w:val="single" w:color="auto" w:sz="4" w:space="0"/>
              <w:right w:val="single" w:color="auto" w:sz="8" w:space="0"/>
            </w:tcBorders>
            <w:noWrap/>
            <w:vAlign w:val="center"/>
          </w:tcPr>
          <w:p>
            <w:pPr>
              <w:jc w:val="center"/>
              <w:rPr>
                <w:color w:val="auto"/>
                <w:kern w:val="0"/>
                <w:sz w:val="24"/>
              </w:rPr>
            </w:pPr>
            <w:r>
              <w:rPr>
                <w:color w:val="auto"/>
                <w:kern w:val="0"/>
                <w:sz w:val="24"/>
              </w:rPr>
              <w:t>4</w:t>
            </w:r>
          </w:p>
        </w:tc>
        <w:tc>
          <w:tcPr>
            <w:tcW w:w="1035" w:type="dxa"/>
            <w:tcBorders>
              <w:top w:val="single" w:color="auto" w:sz="4" w:space="0"/>
              <w:left w:val="nil"/>
              <w:bottom w:val="single" w:color="auto" w:sz="4" w:space="0"/>
              <w:right w:val="single" w:color="auto" w:sz="8" w:space="0"/>
            </w:tcBorders>
            <w:noWrap/>
            <w:vAlign w:val="center"/>
          </w:tcPr>
          <w:p>
            <w:pPr>
              <w:jc w:val="center"/>
              <w:rPr>
                <w:b/>
                <w:color w:val="auto"/>
                <w:kern w:val="0"/>
                <w:sz w:val="24"/>
              </w:rPr>
            </w:pPr>
            <w:r>
              <w:rPr>
                <w:b/>
                <w:color w:val="auto"/>
                <w:kern w:val="0"/>
                <w:sz w:val="24"/>
              </w:rPr>
              <w:t>精神</w:t>
            </w:r>
            <w:r>
              <w:rPr>
                <w:rFonts w:hint="eastAsia"/>
                <w:b/>
                <w:color w:val="auto"/>
                <w:kern w:val="0"/>
                <w:sz w:val="24"/>
              </w:rPr>
              <w:t>医师</w:t>
            </w:r>
          </w:p>
        </w:tc>
        <w:tc>
          <w:tcPr>
            <w:tcW w:w="1935"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精神医学(100205TK)、</w:t>
            </w:r>
          </w:p>
          <w:p>
            <w:pPr>
              <w:widowControl/>
              <w:jc w:val="center"/>
              <w:rPr>
                <w:color w:val="auto"/>
                <w:kern w:val="0"/>
                <w:sz w:val="24"/>
              </w:rPr>
            </w:pPr>
            <w:r>
              <w:rPr>
                <w:color w:val="auto"/>
                <w:kern w:val="0"/>
                <w:sz w:val="24"/>
              </w:rPr>
              <w:t>临床医学(100201K)</w:t>
            </w:r>
          </w:p>
        </w:tc>
        <w:tc>
          <w:tcPr>
            <w:tcW w:w="99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大学本科及以上学历</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学士及以上</w:t>
            </w: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5</w:t>
            </w:r>
          </w:p>
        </w:tc>
        <w:tc>
          <w:tcPr>
            <w:tcW w:w="85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30周岁及以下</w:t>
            </w:r>
          </w:p>
        </w:tc>
        <w:tc>
          <w:tcPr>
            <w:tcW w:w="810"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考试</w:t>
            </w:r>
          </w:p>
        </w:tc>
        <w:tc>
          <w:tcPr>
            <w:tcW w:w="97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在公立精神病医院工作满5年且具有副主任医师资格证的临床医学专业学历可放宽至本科，年龄放宽至45</w:t>
            </w:r>
            <w:r>
              <w:rPr>
                <w:rFonts w:hint="eastAsia"/>
                <w:color w:val="auto"/>
                <w:kern w:val="0"/>
                <w:sz w:val="24"/>
              </w:rPr>
              <w:t>周</w:t>
            </w:r>
            <w:r>
              <w:rPr>
                <w:color w:val="auto"/>
                <w:kern w:val="0"/>
                <w:sz w:val="24"/>
              </w:rPr>
              <w:t>岁</w:t>
            </w:r>
            <w:r>
              <w:rPr>
                <w:rFonts w:hint="eastAsia"/>
                <w:color w:val="auto"/>
                <w:kern w:val="0"/>
                <w:sz w:val="24"/>
              </w:rPr>
              <w:t>及</w:t>
            </w:r>
            <w:r>
              <w:rPr>
                <w:color w:val="auto"/>
                <w:kern w:val="0"/>
                <w:sz w:val="24"/>
              </w:rPr>
              <w:t>以下。</w:t>
            </w:r>
          </w:p>
        </w:tc>
      </w:tr>
      <w:tr>
        <w:tblPrEx>
          <w:tblCellMar>
            <w:top w:w="0" w:type="dxa"/>
            <w:left w:w="108" w:type="dxa"/>
            <w:bottom w:w="0" w:type="dxa"/>
            <w:right w:w="108" w:type="dxa"/>
          </w:tblCellMar>
        </w:tblPrEx>
        <w:trPr>
          <w:trHeight w:val="946" w:hRule="atLeast"/>
          <w:tblHeader/>
          <w:jc w:val="center"/>
        </w:trPr>
        <w:tc>
          <w:tcPr>
            <w:tcW w:w="462" w:type="dxa"/>
            <w:tcBorders>
              <w:top w:val="single" w:color="auto" w:sz="4"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5</w:t>
            </w:r>
          </w:p>
        </w:tc>
        <w:tc>
          <w:tcPr>
            <w:tcW w:w="1035" w:type="dxa"/>
            <w:tcBorders>
              <w:top w:val="single" w:color="auto" w:sz="4" w:space="0"/>
              <w:left w:val="nil"/>
              <w:bottom w:val="single" w:color="auto" w:sz="8" w:space="0"/>
              <w:right w:val="single" w:color="auto" w:sz="8" w:space="0"/>
            </w:tcBorders>
            <w:noWrap/>
            <w:vAlign w:val="center"/>
          </w:tcPr>
          <w:p>
            <w:pPr>
              <w:widowControl/>
              <w:jc w:val="center"/>
              <w:rPr>
                <w:b/>
                <w:color w:val="auto"/>
                <w:kern w:val="0"/>
                <w:sz w:val="24"/>
              </w:rPr>
            </w:pPr>
            <w:r>
              <w:rPr>
                <w:b/>
                <w:color w:val="auto"/>
                <w:kern w:val="0"/>
                <w:sz w:val="24"/>
              </w:rPr>
              <w:t>心理</w:t>
            </w:r>
            <w:r>
              <w:rPr>
                <w:rFonts w:hint="eastAsia"/>
                <w:b/>
                <w:color w:val="auto"/>
                <w:kern w:val="0"/>
                <w:sz w:val="24"/>
              </w:rPr>
              <w:t>医师</w:t>
            </w:r>
          </w:p>
        </w:tc>
        <w:tc>
          <w:tcPr>
            <w:tcW w:w="1935"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应用心理学(071102)</w:t>
            </w:r>
          </w:p>
        </w:tc>
        <w:tc>
          <w:tcPr>
            <w:tcW w:w="99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大学本科及以上学历</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学士及以上</w:t>
            </w: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2</w:t>
            </w:r>
          </w:p>
        </w:tc>
        <w:tc>
          <w:tcPr>
            <w:tcW w:w="85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30周岁及以下</w:t>
            </w:r>
          </w:p>
        </w:tc>
        <w:tc>
          <w:tcPr>
            <w:tcW w:w="81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考试</w:t>
            </w:r>
          </w:p>
        </w:tc>
        <w:tc>
          <w:tcPr>
            <w:tcW w:w="97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nil"/>
              <w:left w:val="nil"/>
              <w:bottom w:val="single" w:color="auto" w:sz="8" w:space="0"/>
              <w:right w:val="single" w:color="auto" w:sz="8" w:space="0"/>
            </w:tcBorders>
            <w:noWrap/>
            <w:vAlign w:val="center"/>
          </w:tcPr>
          <w:p>
            <w:pPr>
              <w:widowControl/>
              <w:jc w:val="left"/>
              <w:rPr>
                <w:color w:val="auto"/>
                <w:kern w:val="0"/>
                <w:sz w:val="24"/>
              </w:rPr>
            </w:pPr>
          </w:p>
        </w:tc>
      </w:tr>
      <w:tr>
        <w:tblPrEx>
          <w:tblCellMar>
            <w:top w:w="0" w:type="dxa"/>
            <w:left w:w="108" w:type="dxa"/>
            <w:bottom w:w="0" w:type="dxa"/>
            <w:right w:w="108" w:type="dxa"/>
          </w:tblCellMar>
        </w:tblPrEx>
        <w:trPr>
          <w:trHeight w:val="946" w:hRule="atLeast"/>
          <w:tblHeader/>
          <w:jc w:val="center"/>
        </w:trPr>
        <w:tc>
          <w:tcPr>
            <w:tcW w:w="462" w:type="dxa"/>
            <w:tcBorders>
              <w:top w:val="nil"/>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6</w:t>
            </w:r>
          </w:p>
        </w:tc>
        <w:tc>
          <w:tcPr>
            <w:tcW w:w="1035" w:type="dxa"/>
            <w:tcBorders>
              <w:top w:val="nil"/>
              <w:left w:val="nil"/>
              <w:bottom w:val="single" w:color="auto" w:sz="8" w:space="0"/>
              <w:right w:val="single" w:color="auto" w:sz="8" w:space="0"/>
            </w:tcBorders>
            <w:noWrap/>
            <w:vAlign w:val="center"/>
          </w:tcPr>
          <w:p>
            <w:pPr>
              <w:widowControl/>
              <w:jc w:val="center"/>
              <w:rPr>
                <w:b/>
                <w:color w:val="auto"/>
                <w:kern w:val="0"/>
                <w:sz w:val="24"/>
              </w:rPr>
            </w:pPr>
            <w:r>
              <w:rPr>
                <w:b/>
                <w:color w:val="auto"/>
                <w:kern w:val="0"/>
                <w:sz w:val="24"/>
              </w:rPr>
              <w:t>放射</w:t>
            </w:r>
            <w:r>
              <w:rPr>
                <w:rFonts w:hint="eastAsia"/>
                <w:b/>
                <w:color w:val="auto"/>
                <w:kern w:val="0"/>
                <w:sz w:val="24"/>
              </w:rPr>
              <w:t>技师</w:t>
            </w:r>
          </w:p>
        </w:tc>
        <w:tc>
          <w:tcPr>
            <w:tcW w:w="1935"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医学影像学(100203TK)、</w:t>
            </w:r>
          </w:p>
          <w:p>
            <w:pPr>
              <w:widowControl/>
              <w:jc w:val="center"/>
              <w:rPr>
                <w:color w:val="auto"/>
                <w:kern w:val="0"/>
                <w:sz w:val="24"/>
              </w:rPr>
            </w:pPr>
            <w:r>
              <w:rPr>
                <w:color w:val="auto"/>
                <w:kern w:val="0"/>
                <w:sz w:val="24"/>
              </w:rPr>
              <w:t>医学影像技术(101003)</w:t>
            </w:r>
          </w:p>
        </w:tc>
        <w:tc>
          <w:tcPr>
            <w:tcW w:w="99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大学本科及以上学历</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学士及以上</w:t>
            </w: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2</w:t>
            </w:r>
          </w:p>
        </w:tc>
        <w:tc>
          <w:tcPr>
            <w:tcW w:w="85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35周岁及以下</w:t>
            </w:r>
          </w:p>
        </w:tc>
        <w:tc>
          <w:tcPr>
            <w:tcW w:w="81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考试</w:t>
            </w:r>
          </w:p>
        </w:tc>
        <w:tc>
          <w:tcPr>
            <w:tcW w:w="97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具有初级职称资格证优先考虑。</w:t>
            </w:r>
          </w:p>
        </w:tc>
      </w:tr>
      <w:tr>
        <w:tblPrEx>
          <w:tblCellMar>
            <w:top w:w="0" w:type="dxa"/>
            <w:left w:w="108" w:type="dxa"/>
            <w:bottom w:w="0" w:type="dxa"/>
            <w:right w:w="108" w:type="dxa"/>
          </w:tblCellMar>
        </w:tblPrEx>
        <w:trPr>
          <w:trHeight w:val="946" w:hRule="atLeast"/>
          <w:tblHeader/>
          <w:jc w:val="center"/>
        </w:trPr>
        <w:tc>
          <w:tcPr>
            <w:tcW w:w="462" w:type="dxa"/>
            <w:tcBorders>
              <w:top w:val="nil"/>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7</w:t>
            </w:r>
          </w:p>
        </w:tc>
        <w:tc>
          <w:tcPr>
            <w:tcW w:w="1035" w:type="dxa"/>
            <w:tcBorders>
              <w:top w:val="nil"/>
              <w:left w:val="nil"/>
              <w:bottom w:val="single" w:color="auto" w:sz="8" w:space="0"/>
              <w:right w:val="single" w:color="auto" w:sz="8" w:space="0"/>
            </w:tcBorders>
            <w:noWrap/>
            <w:vAlign w:val="center"/>
          </w:tcPr>
          <w:p>
            <w:pPr>
              <w:widowControl/>
              <w:jc w:val="center"/>
              <w:rPr>
                <w:b/>
                <w:color w:val="auto"/>
                <w:kern w:val="0"/>
                <w:sz w:val="24"/>
              </w:rPr>
            </w:pPr>
            <w:r>
              <w:rPr>
                <w:rFonts w:hint="eastAsia"/>
                <w:b/>
                <w:color w:val="auto"/>
                <w:kern w:val="0"/>
                <w:sz w:val="24"/>
              </w:rPr>
              <w:t>药师</w:t>
            </w:r>
          </w:p>
        </w:tc>
        <w:tc>
          <w:tcPr>
            <w:tcW w:w="1935"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药学(100701)</w:t>
            </w:r>
          </w:p>
        </w:tc>
        <w:tc>
          <w:tcPr>
            <w:tcW w:w="99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大学本科及以上学历</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学士及以上</w:t>
            </w: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3</w:t>
            </w:r>
          </w:p>
        </w:tc>
        <w:tc>
          <w:tcPr>
            <w:tcW w:w="85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35周岁及以下</w:t>
            </w:r>
          </w:p>
        </w:tc>
        <w:tc>
          <w:tcPr>
            <w:tcW w:w="81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考试</w:t>
            </w:r>
          </w:p>
        </w:tc>
        <w:tc>
          <w:tcPr>
            <w:tcW w:w="97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具有药师资格证及以上可放宽至大学专科。</w:t>
            </w:r>
          </w:p>
        </w:tc>
      </w:tr>
      <w:tr>
        <w:tblPrEx>
          <w:tblCellMar>
            <w:top w:w="0" w:type="dxa"/>
            <w:left w:w="108" w:type="dxa"/>
            <w:bottom w:w="0" w:type="dxa"/>
            <w:right w:w="108" w:type="dxa"/>
          </w:tblCellMar>
        </w:tblPrEx>
        <w:trPr>
          <w:trHeight w:val="1188" w:hRule="atLeast"/>
          <w:tblHeader/>
          <w:jc w:val="center"/>
        </w:trPr>
        <w:tc>
          <w:tcPr>
            <w:tcW w:w="462" w:type="dxa"/>
            <w:tcBorders>
              <w:top w:val="nil"/>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8</w:t>
            </w:r>
          </w:p>
        </w:tc>
        <w:tc>
          <w:tcPr>
            <w:tcW w:w="1035" w:type="dxa"/>
            <w:tcBorders>
              <w:top w:val="nil"/>
              <w:left w:val="nil"/>
              <w:bottom w:val="single" w:color="auto" w:sz="8" w:space="0"/>
              <w:right w:val="single" w:color="auto" w:sz="8" w:space="0"/>
            </w:tcBorders>
            <w:noWrap/>
            <w:vAlign w:val="center"/>
          </w:tcPr>
          <w:p>
            <w:pPr>
              <w:widowControl/>
              <w:jc w:val="center"/>
              <w:rPr>
                <w:b/>
                <w:color w:val="auto"/>
                <w:kern w:val="0"/>
                <w:sz w:val="24"/>
              </w:rPr>
            </w:pPr>
            <w:r>
              <w:rPr>
                <w:b/>
                <w:color w:val="auto"/>
                <w:kern w:val="0"/>
                <w:sz w:val="24"/>
              </w:rPr>
              <w:t>精神康复</w:t>
            </w:r>
            <w:r>
              <w:rPr>
                <w:rFonts w:hint="eastAsia"/>
                <w:b/>
                <w:color w:val="auto"/>
                <w:kern w:val="0"/>
                <w:sz w:val="24"/>
              </w:rPr>
              <w:t>师</w:t>
            </w:r>
          </w:p>
        </w:tc>
        <w:tc>
          <w:tcPr>
            <w:tcW w:w="1935"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康复治疗学(101005)</w:t>
            </w:r>
          </w:p>
        </w:tc>
        <w:tc>
          <w:tcPr>
            <w:tcW w:w="99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大学本科及以上学历</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学士及以上</w:t>
            </w: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2</w:t>
            </w:r>
          </w:p>
        </w:tc>
        <w:tc>
          <w:tcPr>
            <w:tcW w:w="85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35周岁及以下</w:t>
            </w:r>
          </w:p>
        </w:tc>
        <w:tc>
          <w:tcPr>
            <w:tcW w:w="81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考试</w:t>
            </w:r>
          </w:p>
        </w:tc>
        <w:tc>
          <w:tcPr>
            <w:tcW w:w="97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具有康复治疗士资格证及以上可放宽至大学专科。</w:t>
            </w:r>
          </w:p>
        </w:tc>
      </w:tr>
      <w:tr>
        <w:tblPrEx>
          <w:tblCellMar>
            <w:top w:w="0" w:type="dxa"/>
            <w:left w:w="108" w:type="dxa"/>
            <w:bottom w:w="0" w:type="dxa"/>
            <w:right w:w="108" w:type="dxa"/>
          </w:tblCellMar>
        </w:tblPrEx>
        <w:trPr>
          <w:trHeight w:val="1682" w:hRule="atLeast"/>
          <w:tblHeader/>
          <w:jc w:val="center"/>
        </w:trPr>
        <w:tc>
          <w:tcPr>
            <w:tcW w:w="462" w:type="dxa"/>
            <w:tcBorders>
              <w:top w:val="nil"/>
              <w:left w:val="single" w:color="auto" w:sz="8" w:space="0"/>
              <w:bottom w:val="single" w:color="auto" w:sz="4" w:space="0"/>
              <w:right w:val="single" w:color="auto" w:sz="8" w:space="0"/>
            </w:tcBorders>
            <w:noWrap/>
            <w:vAlign w:val="center"/>
          </w:tcPr>
          <w:p>
            <w:pPr>
              <w:widowControl/>
              <w:jc w:val="center"/>
              <w:rPr>
                <w:color w:val="auto"/>
                <w:kern w:val="0"/>
                <w:sz w:val="24"/>
              </w:rPr>
            </w:pPr>
            <w:r>
              <w:rPr>
                <w:color w:val="auto"/>
                <w:kern w:val="0"/>
                <w:sz w:val="24"/>
              </w:rPr>
              <w:t>9</w:t>
            </w:r>
          </w:p>
        </w:tc>
        <w:tc>
          <w:tcPr>
            <w:tcW w:w="1035" w:type="dxa"/>
            <w:tcBorders>
              <w:top w:val="nil"/>
              <w:left w:val="nil"/>
              <w:bottom w:val="single" w:color="auto" w:sz="4" w:space="0"/>
              <w:right w:val="single" w:color="auto" w:sz="8" w:space="0"/>
            </w:tcBorders>
            <w:noWrap/>
            <w:vAlign w:val="center"/>
          </w:tcPr>
          <w:p>
            <w:pPr>
              <w:widowControl/>
              <w:jc w:val="center"/>
              <w:rPr>
                <w:b/>
                <w:color w:val="auto"/>
                <w:kern w:val="0"/>
                <w:sz w:val="24"/>
              </w:rPr>
            </w:pPr>
            <w:r>
              <w:rPr>
                <w:b/>
                <w:color w:val="auto"/>
                <w:kern w:val="0"/>
                <w:sz w:val="24"/>
              </w:rPr>
              <w:t>功能检查</w:t>
            </w:r>
            <w:r>
              <w:rPr>
                <w:rFonts w:hint="eastAsia"/>
                <w:b/>
                <w:color w:val="auto"/>
                <w:kern w:val="0"/>
                <w:sz w:val="24"/>
              </w:rPr>
              <w:t>技师</w:t>
            </w:r>
          </w:p>
        </w:tc>
        <w:tc>
          <w:tcPr>
            <w:tcW w:w="1935" w:type="dxa"/>
            <w:tcBorders>
              <w:top w:val="nil"/>
              <w:left w:val="nil"/>
              <w:bottom w:val="single" w:color="auto" w:sz="4" w:space="0"/>
              <w:right w:val="single" w:color="auto" w:sz="8" w:space="0"/>
            </w:tcBorders>
            <w:noWrap/>
            <w:vAlign w:val="center"/>
          </w:tcPr>
          <w:p>
            <w:pPr>
              <w:widowControl/>
              <w:jc w:val="center"/>
              <w:rPr>
                <w:color w:val="auto"/>
                <w:kern w:val="0"/>
                <w:sz w:val="24"/>
              </w:rPr>
            </w:pPr>
            <w:r>
              <w:rPr>
                <w:color w:val="auto"/>
                <w:kern w:val="0"/>
                <w:sz w:val="24"/>
              </w:rPr>
              <w:t>临床医学(100201K)、</w:t>
            </w:r>
          </w:p>
          <w:p>
            <w:pPr>
              <w:widowControl/>
              <w:jc w:val="center"/>
              <w:rPr>
                <w:color w:val="auto"/>
                <w:kern w:val="0"/>
                <w:sz w:val="24"/>
              </w:rPr>
            </w:pPr>
            <w:r>
              <w:rPr>
                <w:color w:val="auto"/>
                <w:kern w:val="0"/>
                <w:sz w:val="24"/>
              </w:rPr>
              <w:t>医学影像(100203TK)</w:t>
            </w:r>
          </w:p>
        </w:tc>
        <w:tc>
          <w:tcPr>
            <w:tcW w:w="990" w:type="dxa"/>
            <w:tcBorders>
              <w:top w:val="nil"/>
              <w:left w:val="nil"/>
              <w:bottom w:val="single" w:color="auto" w:sz="4" w:space="0"/>
              <w:right w:val="single" w:color="auto" w:sz="8" w:space="0"/>
            </w:tcBorders>
            <w:noWrap/>
            <w:vAlign w:val="center"/>
          </w:tcPr>
          <w:p>
            <w:pPr>
              <w:widowControl/>
              <w:jc w:val="center"/>
              <w:rPr>
                <w:color w:val="auto"/>
                <w:kern w:val="0"/>
                <w:sz w:val="24"/>
              </w:rPr>
            </w:pPr>
            <w:r>
              <w:rPr>
                <w:color w:val="auto"/>
                <w:kern w:val="0"/>
                <w:sz w:val="24"/>
              </w:rPr>
              <w:t>大学本科及以上学历</w:t>
            </w:r>
          </w:p>
        </w:tc>
        <w:tc>
          <w:tcPr>
            <w:tcW w:w="990" w:type="dxa"/>
            <w:tcBorders>
              <w:top w:val="single" w:color="auto" w:sz="8" w:space="0"/>
              <w:left w:val="nil"/>
              <w:bottom w:val="single" w:color="auto" w:sz="4" w:space="0"/>
              <w:right w:val="single" w:color="auto" w:sz="8" w:space="0"/>
            </w:tcBorders>
            <w:noWrap/>
            <w:vAlign w:val="center"/>
          </w:tcPr>
          <w:p>
            <w:pPr>
              <w:widowControl/>
              <w:jc w:val="center"/>
              <w:rPr>
                <w:color w:val="auto"/>
                <w:kern w:val="0"/>
                <w:sz w:val="24"/>
              </w:rPr>
            </w:pPr>
            <w:r>
              <w:rPr>
                <w:color w:val="auto"/>
                <w:kern w:val="0"/>
                <w:sz w:val="24"/>
              </w:rPr>
              <w:t>学士及以上</w:t>
            </w:r>
          </w:p>
        </w:tc>
        <w:tc>
          <w:tcPr>
            <w:tcW w:w="735" w:type="dxa"/>
            <w:tcBorders>
              <w:top w:val="single" w:color="auto" w:sz="8" w:space="0"/>
              <w:left w:val="single" w:color="auto" w:sz="8" w:space="0"/>
              <w:bottom w:val="single" w:color="auto" w:sz="4" w:space="0"/>
              <w:right w:val="single" w:color="auto" w:sz="8" w:space="0"/>
            </w:tcBorders>
            <w:noWrap/>
            <w:vAlign w:val="center"/>
          </w:tcPr>
          <w:p>
            <w:pPr>
              <w:widowControl/>
              <w:jc w:val="center"/>
              <w:rPr>
                <w:color w:val="auto"/>
                <w:kern w:val="0"/>
                <w:sz w:val="24"/>
              </w:rPr>
            </w:pPr>
            <w:r>
              <w:rPr>
                <w:color w:val="auto"/>
                <w:kern w:val="0"/>
                <w:sz w:val="24"/>
              </w:rPr>
              <w:t>2</w:t>
            </w:r>
          </w:p>
        </w:tc>
        <w:tc>
          <w:tcPr>
            <w:tcW w:w="855" w:type="dxa"/>
            <w:tcBorders>
              <w:top w:val="nil"/>
              <w:left w:val="nil"/>
              <w:bottom w:val="single" w:color="auto" w:sz="4" w:space="0"/>
              <w:right w:val="single" w:color="auto" w:sz="8" w:space="0"/>
            </w:tcBorders>
            <w:noWrap/>
            <w:vAlign w:val="center"/>
          </w:tcPr>
          <w:p>
            <w:pPr>
              <w:widowControl/>
              <w:jc w:val="left"/>
              <w:rPr>
                <w:color w:val="auto"/>
                <w:kern w:val="0"/>
                <w:sz w:val="24"/>
              </w:rPr>
            </w:pPr>
            <w:r>
              <w:rPr>
                <w:color w:val="auto"/>
                <w:kern w:val="0"/>
                <w:sz w:val="24"/>
              </w:rPr>
              <w:t>35周岁及以下</w:t>
            </w:r>
          </w:p>
        </w:tc>
        <w:tc>
          <w:tcPr>
            <w:tcW w:w="810" w:type="dxa"/>
            <w:tcBorders>
              <w:top w:val="nil"/>
              <w:left w:val="nil"/>
              <w:bottom w:val="single" w:color="auto" w:sz="4" w:space="0"/>
              <w:right w:val="single" w:color="auto" w:sz="8" w:space="0"/>
            </w:tcBorders>
            <w:noWrap/>
            <w:vAlign w:val="center"/>
          </w:tcPr>
          <w:p>
            <w:pPr>
              <w:widowControl/>
              <w:jc w:val="center"/>
              <w:rPr>
                <w:color w:val="auto"/>
                <w:kern w:val="0"/>
                <w:sz w:val="24"/>
              </w:rPr>
            </w:pPr>
            <w:r>
              <w:rPr>
                <w:color w:val="auto"/>
                <w:kern w:val="0"/>
                <w:sz w:val="24"/>
              </w:rPr>
              <w:t>考试</w:t>
            </w:r>
          </w:p>
        </w:tc>
        <w:tc>
          <w:tcPr>
            <w:tcW w:w="975" w:type="dxa"/>
            <w:tcBorders>
              <w:top w:val="nil"/>
              <w:left w:val="nil"/>
              <w:bottom w:val="single" w:color="auto" w:sz="4"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nil"/>
              <w:left w:val="nil"/>
              <w:bottom w:val="single" w:color="auto" w:sz="4" w:space="0"/>
              <w:right w:val="single" w:color="auto" w:sz="8" w:space="0"/>
            </w:tcBorders>
            <w:noWrap/>
            <w:vAlign w:val="center"/>
          </w:tcPr>
          <w:p>
            <w:pPr>
              <w:widowControl/>
              <w:jc w:val="left"/>
              <w:rPr>
                <w:color w:val="auto"/>
                <w:kern w:val="0"/>
                <w:sz w:val="24"/>
              </w:rPr>
            </w:pPr>
            <w:r>
              <w:rPr>
                <w:color w:val="auto"/>
                <w:kern w:val="0"/>
                <w:sz w:val="24"/>
              </w:rPr>
              <w:t>1、神经电生理（脑电图）技术资格证优先考虑；2、具有初级职称资格证。</w:t>
            </w:r>
          </w:p>
        </w:tc>
      </w:tr>
      <w:tr>
        <w:tblPrEx>
          <w:tblCellMar>
            <w:top w:w="0" w:type="dxa"/>
            <w:left w:w="108" w:type="dxa"/>
            <w:bottom w:w="0" w:type="dxa"/>
            <w:right w:w="108" w:type="dxa"/>
          </w:tblCellMar>
        </w:tblPrEx>
        <w:trPr>
          <w:trHeight w:val="246" w:hRule="atLeast"/>
          <w:tblHeader/>
          <w:jc w:val="center"/>
        </w:trPr>
        <w:tc>
          <w:tcPr>
            <w:tcW w:w="462"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序号</w:t>
            </w:r>
          </w:p>
        </w:tc>
        <w:tc>
          <w:tcPr>
            <w:tcW w:w="1035" w:type="dxa"/>
            <w:tcBorders>
              <w:top w:val="single" w:color="auto" w:sz="4" w:space="0"/>
              <w:left w:val="nil"/>
              <w:bottom w:val="single" w:color="auto" w:sz="4"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招聘</w:t>
            </w:r>
          </w:p>
          <w:p>
            <w:pPr>
              <w:widowControl/>
              <w:jc w:val="center"/>
              <w:rPr>
                <w:rFonts w:eastAsia="黑体"/>
                <w:color w:val="auto"/>
                <w:kern w:val="0"/>
                <w:sz w:val="24"/>
              </w:rPr>
            </w:pPr>
            <w:r>
              <w:rPr>
                <w:rFonts w:eastAsia="黑体"/>
                <w:color w:val="auto"/>
                <w:kern w:val="0"/>
                <w:sz w:val="24"/>
              </w:rPr>
              <w:t>岗位</w:t>
            </w:r>
          </w:p>
        </w:tc>
        <w:tc>
          <w:tcPr>
            <w:tcW w:w="1935" w:type="dxa"/>
            <w:tcBorders>
              <w:top w:val="single" w:color="auto" w:sz="4" w:space="0"/>
              <w:left w:val="nil"/>
              <w:bottom w:val="single" w:color="auto" w:sz="4"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专业、专业目录代码</w:t>
            </w:r>
          </w:p>
        </w:tc>
        <w:tc>
          <w:tcPr>
            <w:tcW w:w="990" w:type="dxa"/>
            <w:tcBorders>
              <w:top w:val="single" w:color="auto" w:sz="4" w:space="0"/>
              <w:left w:val="nil"/>
              <w:bottom w:val="single" w:color="auto" w:sz="4"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学历</w:t>
            </w:r>
          </w:p>
        </w:tc>
        <w:tc>
          <w:tcPr>
            <w:tcW w:w="990" w:type="dxa"/>
            <w:tcBorders>
              <w:top w:val="single" w:color="auto" w:sz="4" w:space="0"/>
              <w:left w:val="nil"/>
              <w:bottom w:val="single" w:color="auto" w:sz="4"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学位</w:t>
            </w:r>
          </w:p>
        </w:tc>
        <w:tc>
          <w:tcPr>
            <w:tcW w:w="735" w:type="dxa"/>
            <w:tcBorders>
              <w:top w:val="single" w:color="auto" w:sz="4" w:space="0"/>
              <w:left w:val="single" w:color="auto" w:sz="8" w:space="0"/>
              <w:bottom w:val="single" w:color="auto" w:sz="4"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招聘人数</w:t>
            </w:r>
          </w:p>
        </w:tc>
        <w:tc>
          <w:tcPr>
            <w:tcW w:w="855" w:type="dxa"/>
            <w:tcBorders>
              <w:top w:val="single" w:color="auto" w:sz="4" w:space="0"/>
              <w:left w:val="nil"/>
              <w:bottom w:val="single" w:color="auto" w:sz="4"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年龄</w:t>
            </w:r>
          </w:p>
        </w:tc>
        <w:tc>
          <w:tcPr>
            <w:tcW w:w="810" w:type="dxa"/>
            <w:tcBorders>
              <w:top w:val="single" w:color="auto" w:sz="4" w:space="0"/>
              <w:left w:val="nil"/>
              <w:bottom w:val="single" w:color="auto" w:sz="4"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招聘方式</w:t>
            </w:r>
          </w:p>
        </w:tc>
        <w:tc>
          <w:tcPr>
            <w:tcW w:w="975" w:type="dxa"/>
            <w:tcBorders>
              <w:top w:val="single" w:color="auto" w:sz="4" w:space="0"/>
              <w:left w:val="nil"/>
              <w:bottom w:val="single" w:color="auto" w:sz="4" w:space="0"/>
              <w:right w:val="single" w:color="auto" w:sz="8" w:space="0"/>
            </w:tcBorders>
            <w:noWrap/>
            <w:vAlign w:val="center"/>
          </w:tcPr>
          <w:p>
            <w:pPr>
              <w:widowControl/>
              <w:jc w:val="center"/>
              <w:rPr>
                <w:rFonts w:eastAsia="黑体"/>
                <w:color w:val="auto"/>
                <w:kern w:val="0"/>
                <w:sz w:val="24"/>
              </w:rPr>
            </w:pPr>
            <w:r>
              <w:rPr>
                <w:rFonts w:eastAsia="黑体"/>
                <w:color w:val="auto"/>
                <w:kern w:val="0"/>
                <w:sz w:val="24"/>
              </w:rPr>
              <w:t>岗位</w:t>
            </w:r>
          </w:p>
          <w:p>
            <w:pPr>
              <w:widowControl/>
              <w:jc w:val="center"/>
              <w:rPr>
                <w:rFonts w:eastAsia="黑体"/>
                <w:color w:val="auto"/>
                <w:kern w:val="0"/>
                <w:sz w:val="24"/>
              </w:rPr>
            </w:pPr>
            <w:r>
              <w:rPr>
                <w:rFonts w:eastAsia="黑体"/>
                <w:color w:val="auto"/>
                <w:kern w:val="0"/>
                <w:sz w:val="24"/>
              </w:rPr>
              <w:t>类型</w:t>
            </w:r>
          </w:p>
        </w:tc>
        <w:tc>
          <w:tcPr>
            <w:tcW w:w="1785" w:type="dxa"/>
            <w:tcBorders>
              <w:top w:val="single" w:color="auto" w:sz="4" w:space="0"/>
              <w:left w:val="nil"/>
              <w:bottom w:val="single" w:color="auto" w:sz="4" w:space="0"/>
              <w:right w:val="single" w:color="auto" w:sz="4" w:space="0"/>
            </w:tcBorders>
            <w:noWrap/>
            <w:vAlign w:val="center"/>
          </w:tcPr>
          <w:p>
            <w:pPr>
              <w:widowControl/>
              <w:jc w:val="center"/>
              <w:rPr>
                <w:rFonts w:eastAsia="黑体"/>
                <w:color w:val="auto"/>
                <w:kern w:val="0"/>
                <w:sz w:val="24"/>
              </w:rPr>
            </w:pPr>
            <w:r>
              <w:rPr>
                <w:rFonts w:eastAsia="黑体"/>
                <w:color w:val="auto"/>
                <w:kern w:val="0"/>
                <w:sz w:val="24"/>
              </w:rPr>
              <w:t>其他有关条件</w:t>
            </w:r>
          </w:p>
        </w:tc>
      </w:tr>
      <w:tr>
        <w:tblPrEx>
          <w:tblCellMar>
            <w:top w:w="0" w:type="dxa"/>
            <w:left w:w="108" w:type="dxa"/>
            <w:bottom w:w="0" w:type="dxa"/>
            <w:right w:w="108" w:type="dxa"/>
          </w:tblCellMar>
        </w:tblPrEx>
        <w:trPr>
          <w:trHeight w:val="1061" w:hRule="atLeast"/>
          <w:tblHeader/>
          <w:jc w:val="center"/>
        </w:trPr>
        <w:tc>
          <w:tcPr>
            <w:tcW w:w="462" w:type="dxa"/>
            <w:tcBorders>
              <w:top w:val="single" w:color="auto" w:sz="4" w:space="0"/>
              <w:left w:val="single" w:color="auto" w:sz="4" w:space="0"/>
              <w:bottom w:val="single" w:color="auto" w:sz="4" w:space="0"/>
              <w:right w:val="single" w:color="auto" w:sz="8" w:space="0"/>
            </w:tcBorders>
            <w:noWrap/>
            <w:vAlign w:val="center"/>
          </w:tcPr>
          <w:p>
            <w:pPr>
              <w:widowControl/>
              <w:jc w:val="center"/>
              <w:rPr>
                <w:color w:val="auto"/>
                <w:kern w:val="0"/>
                <w:sz w:val="24"/>
              </w:rPr>
            </w:pPr>
            <w:r>
              <w:rPr>
                <w:color w:val="auto"/>
                <w:kern w:val="0"/>
                <w:sz w:val="24"/>
              </w:rPr>
              <w:t>10</w:t>
            </w:r>
          </w:p>
        </w:tc>
        <w:tc>
          <w:tcPr>
            <w:tcW w:w="1035" w:type="dxa"/>
            <w:tcBorders>
              <w:top w:val="single" w:color="auto" w:sz="4" w:space="0"/>
              <w:left w:val="nil"/>
              <w:bottom w:val="single" w:color="auto" w:sz="4" w:space="0"/>
              <w:right w:val="single" w:color="auto" w:sz="8" w:space="0"/>
            </w:tcBorders>
            <w:noWrap/>
            <w:vAlign w:val="center"/>
          </w:tcPr>
          <w:p>
            <w:pPr>
              <w:widowControl/>
              <w:jc w:val="center"/>
              <w:rPr>
                <w:b/>
                <w:color w:val="auto"/>
                <w:kern w:val="0"/>
                <w:sz w:val="24"/>
              </w:rPr>
            </w:pPr>
            <w:r>
              <w:rPr>
                <w:b/>
                <w:color w:val="auto"/>
                <w:kern w:val="0"/>
                <w:sz w:val="24"/>
              </w:rPr>
              <w:t>检验</w:t>
            </w:r>
            <w:r>
              <w:rPr>
                <w:rFonts w:hint="eastAsia"/>
                <w:b/>
                <w:color w:val="auto"/>
                <w:kern w:val="0"/>
                <w:sz w:val="24"/>
              </w:rPr>
              <w:t>技师</w:t>
            </w:r>
          </w:p>
        </w:tc>
        <w:tc>
          <w:tcPr>
            <w:tcW w:w="1935" w:type="dxa"/>
            <w:tcBorders>
              <w:top w:val="single" w:color="auto" w:sz="4" w:space="0"/>
              <w:left w:val="nil"/>
              <w:bottom w:val="single" w:color="auto" w:sz="4" w:space="0"/>
              <w:right w:val="single" w:color="auto" w:sz="8" w:space="0"/>
            </w:tcBorders>
            <w:noWrap/>
            <w:vAlign w:val="center"/>
          </w:tcPr>
          <w:p>
            <w:pPr>
              <w:widowControl/>
              <w:jc w:val="center"/>
              <w:rPr>
                <w:color w:val="auto"/>
                <w:kern w:val="0"/>
                <w:sz w:val="24"/>
              </w:rPr>
            </w:pPr>
            <w:r>
              <w:rPr>
                <w:color w:val="auto"/>
                <w:kern w:val="0"/>
                <w:sz w:val="24"/>
              </w:rPr>
              <w:t>医学检验技术(101001)</w:t>
            </w:r>
          </w:p>
        </w:tc>
        <w:tc>
          <w:tcPr>
            <w:tcW w:w="990" w:type="dxa"/>
            <w:tcBorders>
              <w:top w:val="single" w:color="auto" w:sz="4" w:space="0"/>
              <w:left w:val="nil"/>
              <w:bottom w:val="single" w:color="auto" w:sz="4" w:space="0"/>
              <w:right w:val="single" w:color="auto" w:sz="8" w:space="0"/>
            </w:tcBorders>
            <w:noWrap/>
            <w:vAlign w:val="center"/>
          </w:tcPr>
          <w:p>
            <w:pPr>
              <w:widowControl/>
              <w:jc w:val="center"/>
              <w:rPr>
                <w:color w:val="auto"/>
                <w:kern w:val="0"/>
                <w:sz w:val="24"/>
              </w:rPr>
            </w:pPr>
            <w:r>
              <w:rPr>
                <w:color w:val="auto"/>
                <w:kern w:val="0"/>
                <w:sz w:val="24"/>
              </w:rPr>
              <w:t>大学本科及以上学历</w:t>
            </w:r>
          </w:p>
        </w:tc>
        <w:tc>
          <w:tcPr>
            <w:tcW w:w="990" w:type="dxa"/>
            <w:tcBorders>
              <w:top w:val="single" w:color="auto" w:sz="4" w:space="0"/>
              <w:left w:val="nil"/>
              <w:bottom w:val="single" w:color="auto" w:sz="4" w:space="0"/>
              <w:right w:val="single" w:color="auto" w:sz="8" w:space="0"/>
            </w:tcBorders>
            <w:noWrap/>
            <w:vAlign w:val="center"/>
          </w:tcPr>
          <w:p>
            <w:pPr>
              <w:widowControl/>
              <w:jc w:val="center"/>
              <w:rPr>
                <w:color w:val="auto"/>
                <w:kern w:val="0"/>
                <w:sz w:val="24"/>
              </w:rPr>
            </w:pPr>
            <w:r>
              <w:rPr>
                <w:color w:val="auto"/>
                <w:kern w:val="0"/>
                <w:sz w:val="24"/>
              </w:rPr>
              <w:t>学士及以上</w:t>
            </w:r>
          </w:p>
        </w:tc>
        <w:tc>
          <w:tcPr>
            <w:tcW w:w="735" w:type="dxa"/>
            <w:tcBorders>
              <w:top w:val="single" w:color="auto" w:sz="4" w:space="0"/>
              <w:left w:val="single" w:color="auto" w:sz="8" w:space="0"/>
              <w:bottom w:val="single" w:color="auto" w:sz="4" w:space="0"/>
              <w:right w:val="single" w:color="auto" w:sz="8" w:space="0"/>
            </w:tcBorders>
            <w:noWrap/>
            <w:vAlign w:val="center"/>
          </w:tcPr>
          <w:p>
            <w:pPr>
              <w:widowControl/>
              <w:jc w:val="center"/>
              <w:rPr>
                <w:color w:val="auto"/>
                <w:kern w:val="0"/>
                <w:sz w:val="24"/>
              </w:rPr>
            </w:pPr>
            <w:r>
              <w:rPr>
                <w:color w:val="auto"/>
                <w:kern w:val="0"/>
                <w:sz w:val="24"/>
              </w:rPr>
              <w:t>2</w:t>
            </w:r>
          </w:p>
        </w:tc>
        <w:tc>
          <w:tcPr>
            <w:tcW w:w="855" w:type="dxa"/>
            <w:tcBorders>
              <w:top w:val="single" w:color="auto" w:sz="4" w:space="0"/>
              <w:left w:val="nil"/>
              <w:bottom w:val="single" w:color="auto" w:sz="4" w:space="0"/>
              <w:right w:val="single" w:color="auto" w:sz="8" w:space="0"/>
            </w:tcBorders>
            <w:noWrap/>
            <w:vAlign w:val="center"/>
          </w:tcPr>
          <w:p>
            <w:pPr>
              <w:widowControl/>
              <w:jc w:val="left"/>
              <w:rPr>
                <w:color w:val="auto"/>
                <w:kern w:val="0"/>
                <w:sz w:val="24"/>
              </w:rPr>
            </w:pPr>
            <w:r>
              <w:rPr>
                <w:color w:val="auto"/>
                <w:kern w:val="0"/>
                <w:sz w:val="24"/>
              </w:rPr>
              <w:t>35周岁及以下</w:t>
            </w:r>
          </w:p>
        </w:tc>
        <w:tc>
          <w:tcPr>
            <w:tcW w:w="810" w:type="dxa"/>
            <w:tcBorders>
              <w:top w:val="single" w:color="auto" w:sz="4" w:space="0"/>
              <w:left w:val="nil"/>
              <w:bottom w:val="single" w:color="auto" w:sz="4" w:space="0"/>
              <w:right w:val="single" w:color="auto" w:sz="8" w:space="0"/>
            </w:tcBorders>
            <w:noWrap/>
            <w:vAlign w:val="center"/>
          </w:tcPr>
          <w:p>
            <w:pPr>
              <w:widowControl/>
              <w:jc w:val="center"/>
              <w:rPr>
                <w:color w:val="auto"/>
                <w:kern w:val="0"/>
                <w:sz w:val="24"/>
              </w:rPr>
            </w:pPr>
            <w:r>
              <w:rPr>
                <w:color w:val="auto"/>
                <w:kern w:val="0"/>
                <w:sz w:val="24"/>
              </w:rPr>
              <w:t>考试</w:t>
            </w:r>
          </w:p>
        </w:tc>
        <w:tc>
          <w:tcPr>
            <w:tcW w:w="975" w:type="dxa"/>
            <w:tcBorders>
              <w:top w:val="single" w:color="auto" w:sz="4" w:space="0"/>
              <w:left w:val="nil"/>
              <w:bottom w:val="single" w:color="auto" w:sz="4" w:space="0"/>
              <w:right w:val="single" w:color="auto" w:sz="8" w:space="0"/>
            </w:tcBorders>
            <w:noWrap/>
            <w:vAlign w:val="center"/>
          </w:tcPr>
          <w:p>
            <w:pPr>
              <w:widowControl/>
              <w:jc w:val="left"/>
              <w:rPr>
                <w:color w:val="auto"/>
                <w:kern w:val="0"/>
                <w:sz w:val="24"/>
              </w:rPr>
            </w:pPr>
            <w:r>
              <w:rPr>
                <w:color w:val="auto"/>
                <w:kern w:val="0"/>
                <w:sz w:val="24"/>
              </w:rPr>
              <w:t>专技岗</w:t>
            </w:r>
          </w:p>
        </w:tc>
        <w:tc>
          <w:tcPr>
            <w:tcW w:w="1785" w:type="dxa"/>
            <w:tcBorders>
              <w:top w:val="single" w:color="auto" w:sz="4" w:space="0"/>
              <w:left w:val="nil"/>
              <w:bottom w:val="single" w:color="auto" w:sz="4" w:space="0"/>
              <w:right w:val="single" w:color="auto" w:sz="4" w:space="0"/>
            </w:tcBorders>
            <w:noWrap/>
            <w:vAlign w:val="center"/>
          </w:tcPr>
          <w:p>
            <w:pPr>
              <w:widowControl/>
              <w:jc w:val="left"/>
              <w:rPr>
                <w:color w:val="auto"/>
                <w:kern w:val="0"/>
                <w:sz w:val="24"/>
              </w:rPr>
            </w:pPr>
          </w:p>
        </w:tc>
      </w:tr>
      <w:tr>
        <w:tblPrEx>
          <w:tblCellMar>
            <w:top w:w="0" w:type="dxa"/>
            <w:left w:w="108" w:type="dxa"/>
            <w:bottom w:w="0" w:type="dxa"/>
            <w:right w:w="108" w:type="dxa"/>
          </w:tblCellMar>
        </w:tblPrEx>
        <w:trPr>
          <w:trHeight w:val="2314" w:hRule="atLeast"/>
          <w:tblHeader/>
          <w:jc w:val="center"/>
        </w:trPr>
        <w:tc>
          <w:tcPr>
            <w:tcW w:w="462" w:type="dxa"/>
            <w:tcBorders>
              <w:top w:val="single" w:color="auto" w:sz="4"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11</w:t>
            </w:r>
          </w:p>
        </w:tc>
        <w:tc>
          <w:tcPr>
            <w:tcW w:w="1035" w:type="dxa"/>
            <w:tcBorders>
              <w:top w:val="single" w:color="auto" w:sz="4" w:space="0"/>
              <w:left w:val="nil"/>
              <w:bottom w:val="single" w:color="auto" w:sz="8" w:space="0"/>
              <w:right w:val="single" w:color="auto" w:sz="8" w:space="0"/>
            </w:tcBorders>
            <w:noWrap/>
            <w:vAlign w:val="center"/>
          </w:tcPr>
          <w:p>
            <w:pPr>
              <w:widowControl/>
              <w:jc w:val="center"/>
              <w:rPr>
                <w:b/>
                <w:color w:val="auto"/>
                <w:kern w:val="0"/>
                <w:sz w:val="24"/>
              </w:rPr>
            </w:pPr>
            <w:r>
              <w:rPr>
                <w:b/>
                <w:color w:val="auto"/>
                <w:kern w:val="0"/>
                <w:sz w:val="24"/>
              </w:rPr>
              <w:t>消防</w:t>
            </w:r>
          </w:p>
          <w:p>
            <w:pPr>
              <w:widowControl/>
              <w:jc w:val="center"/>
              <w:rPr>
                <w:b/>
                <w:color w:val="auto"/>
                <w:kern w:val="0"/>
                <w:sz w:val="24"/>
              </w:rPr>
            </w:pPr>
            <w:r>
              <w:rPr>
                <w:b/>
                <w:color w:val="auto"/>
                <w:kern w:val="0"/>
                <w:sz w:val="24"/>
              </w:rPr>
              <w:t>管理</w:t>
            </w:r>
            <w:r>
              <w:rPr>
                <w:rFonts w:hint="eastAsia"/>
                <w:b/>
                <w:color w:val="auto"/>
                <w:kern w:val="0"/>
                <w:sz w:val="24"/>
              </w:rPr>
              <w:t>人员</w:t>
            </w:r>
          </w:p>
        </w:tc>
        <w:tc>
          <w:tcPr>
            <w:tcW w:w="1935" w:type="dxa"/>
            <w:tcBorders>
              <w:top w:val="single" w:color="auto" w:sz="4"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消防工程、</w:t>
            </w:r>
          </w:p>
          <w:p>
            <w:pPr>
              <w:widowControl/>
              <w:jc w:val="center"/>
              <w:rPr>
                <w:color w:val="auto"/>
                <w:kern w:val="0"/>
                <w:sz w:val="24"/>
              </w:rPr>
            </w:pPr>
            <w:r>
              <w:rPr>
                <w:color w:val="auto"/>
                <w:kern w:val="0"/>
                <w:sz w:val="24"/>
              </w:rPr>
              <w:t>安全防范工程</w:t>
            </w:r>
            <w:r>
              <w:rPr>
                <w:rFonts w:hint="eastAsia"/>
                <w:color w:val="auto"/>
                <w:kern w:val="0"/>
                <w:sz w:val="24"/>
              </w:rPr>
              <w:t>、信息工程、信息技术应用与管理、电子信息科学与技术、电信工程与管理</w:t>
            </w:r>
          </w:p>
        </w:tc>
        <w:tc>
          <w:tcPr>
            <w:tcW w:w="990" w:type="dxa"/>
            <w:tcBorders>
              <w:top w:val="single" w:color="auto" w:sz="4"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本科及以上学历</w:t>
            </w:r>
          </w:p>
        </w:tc>
        <w:tc>
          <w:tcPr>
            <w:tcW w:w="990" w:type="dxa"/>
            <w:tcBorders>
              <w:top w:val="single" w:color="auto" w:sz="4" w:space="0"/>
              <w:left w:val="nil"/>
              <w:bottom w:val="single" w:color="auto" w:sz="8" w:space="0"/>
              <w:right w:val="single" w:color="auto" w:sz="8" w:space="0"/>
            </w:tcBorders>
            <w:noWrap/>
            <w:vAlign w:val="center"/>
          </w:tcPr>
          <w:p>
            <w:pPr>
              <w:widowControl/>
              <w:jc w:val="center"/>
              <w:rPr>
                <w:color w:val="auto"/>
                <w:kern w:val="0"/>
                <w:sz w:val="24"/>
              </w:rPr>
            </w:pPr>
          </w:p>
        </w:tc>
        <w:tc>
          <w:tcPr>
            <w:tcW w:w="735" w:type="dxa"/>
            <w:tcBorders>
              <w:top w:val="single" w:color="auto" w:sz="4"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1</w:t>
            </w:r>
          </w:p>
        </w:tc>
        <w:tc>
          <w:tcPr>
            <w:tcW w:w="855" w:type="dxa"/>
            <w:tcBorders>
              <w:top w:val="single" w:color="auto" w:sz="4" w:space="0"/>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35周岁及以下</w:t>
            </w:r>
          </w:p>
        </w:tc>
        <w:tc>
          <w:tcPr>
            <w:tcW w:w="810" w:type="dxa"/>
            <w:tcBorders>
              <w:top w:val="single" w:color="auto" w:sz="4" w:space="0"/>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考试</w:t>
            </w:r>
          </w:p>
        </w:tc>
        <w:tc>
          <w:tcPr>
            <w:tcW w:w="975" w:type="dxa"/>
            <w:tcBorders>
              <w:top w:val="single" w:color="auto" w:sz="4" w:space="0"/>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管理岗</w:t>
            </w:r>
          </w:p>
        </w:tc>
        <w:tc>
          <w:tcPr>
            <w:tcW w:w="1785" w:type="dxa"/>
            <w:tcBorders>
              <w:top w:val="single" w:color="auto" w:sz="4" w:space="0"/>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具有消防证书。</w:t>
            </w:r>
          </w:p>
        </w:tc>
      </w:tr>
      <w:tr>
        <w:tblPrEx>
          <w:tblCellMar>
            <w:top w:w="0" w:type="dxa"/>
            <w:left w:w="108" w:type="dxa"/>
            <w:bottom w:w="0" w:type="dxa"/>
            <w:right w:w="108" w:type="dxa"/>
          </w:tblCellMar>
        </w:tblPrEx>
        <w:trPr>
          <w:trHeight w:val="3126" w:hRule="atLeast"/>
          <w:tblHeader/>
          <w:jc w:val="center"/>
        </w:trPr>
        <w:tc>
          <w:tcPr>
            <w:tcW w:w="462" w:type="dxa"/>
            <w:tcBorders>
              <w:top w:val="nil"/>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12</w:t>
            </w:r>
          </w:p>
        </w:tc>
        <w:tc>
          <w:tcPr>
            <w:tcW w:w="1035" w:type="dxa"/>
            <w:tcBorders>
              <w:top w:val="nil"/>
              <w:left w:val="nil"/>
              <w:bottom w:val="single" w:color="auto" w:sz="8" w:space="0"/>
              <w:right w:val="single" w:color="auto" w:sz="8" w:space="0"/>
            </w:tcBorders>
            <w:noWrap/>
            <w:vAlign w:val="center"/>
          </w:tcPr>
          <w:p>
            <w:pPr>
              <w:widowControl/>
              <w:jc w:val="center"/>
              <w:rPr>
                <w:b/>
                <w:color w:val="auto"/>
                <w:kern w:val="0"/>
                <w:sz w:val="24"/>
              </w:rPr>
            </w:pPr>
            <w:r>
              <w:rPr>
                <w:b/>
                <w:color w:val="auto"/>
                <w:kern w:val="0"/>
                <w:sz w:val="24"/>
              </w:rPr>
              <w:t>综合</w:t>
            </w:r>
          </w:p>
          <w:p>
            <w:pPr>
              <w:widowControl/>
              <w:jc w:val="center"/>
              <w:rPr>
                <w:b/>
                <w:color w:val="auto"/>
                <w:kern w:val="0"/>
                <w:sz w:val="24"/>
              </w:rPr>
            </w:pPr>
            <w:r>
              <w:rPr>
                <w:b/>
                <w:color w:val="auto"/>
                <w:kern w:val="0"/>
                <w:sz w:val="24"/>
              </w:rPr>
              <w:t>管理</w:t>
            </w:r>
            <w:r>
              <w:rPr>
                <w:rFonts w:hint="eastAsia"/>
                <w:b/>
                <w:color w:val="auto"/>
                <w:kern w:val="0"/>
                <w:sz w:val="24"/>
              </w:rPr>
              <w:t>人员</w:t>
            </w:r>
          </w:p>
        </w:tc>
        <w:tc>
          <w:tcPr>
            <w:tcW w:w="1935"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行政管理（120402）、</w:t>
            </w:r>
          </w:p>
          <w:p>
            <w:pPr>
              <w:widowControl/>
              <w:jc w:val="center"/>
              <w:rPr>
                <w:color w:val="auto"/>
                <w:kern w:val="0"/>
                <w:sz w:val="24"/>
              </w:rPr>
            </w:pPr>
            <w:r>
              <w:rPr>
                <w:color w:val="auto"/>
                <w:kern w:val="0"/>
                <w:sz w:val="24"/>
              </w:rPr>
              <w:t>汉语言文学（050101）、</w:t>
            </w:r>
          </w:p>
          <w:p>
            <w:pPr>
              <w:widowControl/>
              <w:jc w:val="center"/>
              <w:rPr>
                <w:color w:val="auto"/>
                <w:kern w:val="0"/>
                <w:sz w:val="24"/>
              </w:rPr>
            </w:pPr>
            <w:r>
              <w:rPr>
                <w:color w:val="auto"/>
                <w:kern w:val="0"/>
                <w:sz w:val="24"/>
              </w:rPr>
              <w:t>汉语</w:t>
            </w:r>
            <w:r>
              <w:rPr>
                <w:rFonts w:hint="eastAsia"/>
                <w:color w:val="auto"/>
                <w:kern w:val="0"/>
                <w:sz w:val="24"/>
              </w:rPr>
              <w:t>言</w:t>
            </w:r>
            <w:r>
              <w:rPr>
                <w:color w:val="auto"/>
                <w:kern w:val="0"/>
                <w:sz w:val="24"/>
              </w:rPr>
              <w:t>（050102）、会展经济与管理（120903）、</w:t>
            </w:r>
          </w:p>
          <w:p>
            <w:pPr>
              <w:widowControl/>
              <w:jc w:val="center"/>
              <w:rPr>
                <w:color w:val="auto"/>
                <w:kern w:val="0"/>
                <w:sz w:val="24"/>
              </w:rPr>
            </w:pPr>
            <w:r>
              <w:rPr>
                <w:color w:val="auto"/>
                <w:kern w:val="0"/>
                <w:sz w:val="24"/>
              </w:rPr>
              <w:t>工商管理</w:t>
            </w:r>
            <w:r>
              <w:rPr>
                <w:rFonts w:hint="eastAsia"/>
                <w:color w:val="auto"/>
                <w:kern w:val="0"/>
                <w:sz w:val="24"/>
              </w:rPr>
              <w:t>(</w:t>
            </w:r>
            <w:r>
              <w:rPr>
                <w:color w:val="auto"/>
                <w:kern w:val="0"/>
                <w:sz w:val="24"/>
              </w:rPr>
              <w:t>120201K）、</w:t>
            </w:r>
          </w:p>
          <w:p>
            <w:pPr>
              <w:widowControl/>
              <w:jc w:val="center"/>
              <w:rPr>
                <w:color w:val="auto"/>
                <w:kern w:val="0"/>
                <w:sz w:val="24"/>
              </w:rPr>
            </w:pPr>
            <w:r>
              <w:rPr>
                <w:color w:val="auto"/>
                <w:kern w:val="0"/>
                <w:sz w:val="24"/>
              </w:rPr>
              <w:t>市场营销（120202）、</w:t>
            </w:r>
          </w:p>
          <w:p>
            <w:pPr>
              <w:widowControl/>
              <w:jc w:val="center"/>
              <w:rPr>
                <w:color w:val="auto"/>
                <w:kern w:val="0"/>
                <w:sz w:val="24"/>
              </w:rPr>
            </w:pPr>
            <w:r>
              <w:rPr>
                <w:color w:val="auto"/>
                <w:kern w:val="0"/>
                <w:sz w:val="24"/>
              </w:rPr>
              <w:t>会计学（120203K）、</w:t>
            </w:r>
          </w:p>
          <w:p>
            <w:pPr>
              <w:widowControl/>
              <w:jc w:val="center"/>
              <w:rPr>
                <w:color w:val="auto"/>
                <w:kern w:val="0"/>
                <w:sz w:val="24"/>
              </w:rPr>
            </w:pPr>
            <w:r>
              <w:rPr>
                <w:color w:val="auto"/>
                <w:kern w:val="0"/>
                <w:sz w:val="24"/>
              </w:rPr>
              <w:t>财务管理（120204）、</w:t>
            </w:r>
          </w:p>
          <w:p>
            <w:pPr>
              <w:widowControl/>
              <w:jc w:val="center"/>
              <w:rPr>
                <w:color w:val="auto"/>
                <w:kern w:val="0"/>
                <w:sz w:val="24"/>
              </w:rPr>
            </w:pPr>
            <w:r>
              <w:rPr>
                <w:color w:val="auto"/>
                <w:kern w:val="0"/>
                <w:sz w:val="24"/>
              </w:rPr>
              <w:t>人力资源管理</w:t>
            </w:r>
            <w:r>
              <w:rPr>
                <w:rFonts w:hint="eastAsia"/>
                <w:color w:val="auto"/>
                <w:kern w:val="0"/>
                <w:sz w:val="24"/>
              </w:rPr>
              <w:t>(</w:t>
            </w:r>
            <w:r>
              <w:rPr>
                <w:color w:val="auto"/>
                <w:kern w:val="0"/>
                <w:sz w:val="24"/>
              </w:rPr>
              <w:t>120206）</w:t>
            </w:r>
          </w:p>
        </w:tc>
        <w:tc>
          <w:tcPr>
            <w:tcW w:w="99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本科及以上学历</w:t>
            </w:r>
          </w:p>
        </w:tc>
        <w:tc>
          <w:tcPr>
            <w:tcW w:w="990" w:type="dxa"/>
            <w:tcBorders>
              <w:top w:val="single" w:color="auto" w:sz="8" w:space="0"/>
              <w:left w:val="nil"/>
              <w:bottom w:val="single" w:color="auto" w:sz="8" w:space="0"/>
              <w:right w:val="single" w:color="auto" w:sz="8" w:space="0"/>
            </w:tcBorders>
            <w:noWrap/>
            <w:vAlign w:val="center"/>
          </w:tcPr>
          <w:p>
            <w:pPr>
              <w:widowControl/>
              <w:jc w:val="center"/>
              <w:rPr>
                <w:color w:val="auto"/>
                <w:kern w:val="0"/>
                <w:sz w:val="24"/>
              </w:rPr>
            </w:pPr>
          </w:p>
        </w:tc>
        <w:tc>
          <w:tcPr>
            <w:tcW w:w="735" w:type="dxa"/>
            <w:tcBorders>
              <w:top w:val="single" w:color="auto" w:sz="8" w:space="0"/>
              <w:left w:val="single" w:color="auto" w:sz="8" w:space="0"/>
              <w:bottom w:val="single" w:color="auto" w:sz="8" w:space="0"/>
              <w:right w:val="single" w:color="auto" w:sz="8" w:space="0"/>
            </w:tcBorders>
            <w:noWrap/>
            <w:vAlign w:val="center"/>
          </w:tcPr>
          <w:p>
            <w:pPr>
              <w:widowControl/>
              <w:jc w:val="center"/>
              <w:rPr>
                <w:color w:val="auto"/>
                <w:kern w:val="0"/>
                <w:sz w:val="24"/>
              </w:rPr>
            </w:pPr>
            <w:r>
              <w:rPr>
                <w:color w:val="auto"/>
                <w:kern w:val="0"/>
                <w:sz w:val="24"/>
              </w:rPr>
              <w:t>5</w:t>
            </w:r>
          </w:p>
        </w:tc>
        <w:tc>
          <w:tcPr>
            <w:tcW w:w="855" w:type="dxa"/>
            <w:tcBorders>
              <w:top w:val="nil"/>
              <w:left w:val="nil"/>
              <w:bottom w:val="single" w:color="auto" w:sz="8" w:space="0"/>
              <w:right w:val="single" w:color="auto" w:sz="8" w:space="0"/>
            </w:tcBorders>
            <w:noWrap/>
            <w:vAlign w:val="center"/>
          </w:tcPr>
          <w:p>
            <w:pPr>
              <w:widowControl/>
              <w:jc w:val="left"/>
              <w:rPr>
                <w:color w:val="auto"/>
                <w:kern w:val="0"/>
                <w:sz w:val="24"/>
              </w:rPr>
            </w:pPr>
            <w:r>
              <w:rPr>
                <w:rFonts w:hint="eastAsia"/>
                <w:color w:val="auto"/>
                <w:kern w:val="0"/>
                <w:sz w:val="24"/>
              </w:rPr>
              <w:t>40</w:t>
            </w:r>
            <w:r>
              <w:rPr>
                <w:color w:val="auto"/>
                <w:kern w:val="0"/>
                <w:sz w:val="24"/>
              </w:rPr>
              <w:t>周岁及以下</w:t>
            </w:r>
          </w:p>
        </w:tc>
        <w:tc>
          <w:tcPr>
            <w:tcW w:w="810" w:type="dxa"/>
            <w:tcBorders>
              <w:top w:val="nil"/>
              <w:left w:val="nil"/>
              <w:bottom w:val="single" w:color="auto" w:sz="8" w:space="0"/>
              <w:right w:val="single" w:color="auto" w:sz="8" w:space="0"/>
            </w:tcBorders>
            <w:noWrap/>
            <w:vAlign w:val="center"/>
          </w:tcPr>
          <w:p>
            <w:pPr>
              <w:widowControl/>
              <w:jc w:val="center"/>
              <w:rPr>
                <w:color w:val="auto"/>
                <w:kern w:val="0"/>
                <w:sz w:val="24"/>
              </w:rPr>
            </w:pPr>
            <w:r>
              <w:rPr>
                <w:color w:val="auto"/>
                <w:kern w:val="0"/>
                <w:sz w:val="24"/>
              </w:rPr>
              <w:t>考试</w:t>
            </w:r>
          </w:p>
        </w:tc>
        <w:tc>
          <w:tcPr>
            <w:tcW w:w="975" w:type="dxa"/>
            <w:tcBorders>
              <w:top w:val="nil"/>
              <w:left w:val="nil"/>
              <w:bottom w:val="single" w:color="auto" w:sz="8" w:space="0"/>
              <w:right w:val="single" w:color="auto" w:sz="8" w:space="0"/>
            </w:tcBorders>
            <w:noWrap/>
            <w:vAlign w:val="center"/>
          </w:tcPr>
          <w:p>
            <w:pPr>
              <w:widowControl/>
              <w:jc w:val="left"/>
              <w:rPr>
                <w:color w:val="auto"/>
                <w:kern w:val="0"/>
                <w:sz w:val="24"/>
              </w:rPr>
            </w:pPr>
            <w:r>
              <w:rPr>
                <w:color w:val="auto"/>
                <w:kern w:val="0"/>
                <w:sz w:val="24"/>
              </w:rPr>
              <w:t>管理岗</w:t>
            </w:r>
          </w:p>
        </w:tc>
        <w:tc>
          <w:tcPr>
            <w:tcW w:w="1785" w:type="dxa"/>
            <w:tcBorders>
              <w:top w:val="nil"/>
              <w:left w:val="nil"/>
              <w:bottom w:val="single" w:color="auto" w:sz="8" w:space="0"/>
              <w:right w:val="single" w:color="auto" w:sz="8" w:space="0"/>
            </w:tcBorders>
            <w:noWrap/>
            <w:vAlign w:val="center"/>
          </w:tcPr>
          <w:p>
            <w:pPr>
              <w:widowControl/>
              <w:jc w:val="left"/>
              <w:rPr>
                <w:color w:val="auto"/>
                <w:kern w:val="0"/>
                <w:sz w:val="24"/>
              </w:rPr>
            </w:pPr>
          </w:p>
        </w:tc>
      </w:tr>
    </w:tbl>
    <w:p>
      <w:pPr>
        <w:numPr>
          <w:ilvl w:val="0"/>
          <w:numId w:val="0"/>
        </w:numPr>
        <w:rPr>
          <w:rFonts w:hint="default"/>
          <w:color w:val="auto"/>
          <w:sz w:val="28"/>
          <w:szCs w:val="36"/>
          <w:lang w:val="en-US" w:eastAsia="zh-CN"/>
        </w:rPr>
      </w:pPr>
    </w:p>
    <w:p>
      <w:pPr>
        <w:pStyle w:val="2"/>
        <w:rPr>
          <w:rFonts w:hint="default"/>
          <w:color w:val="auto"/>
          <w:sz w:val="28"/>
          <w:szCs w:val="36"/>
          <w:lang w:val="en-US" w:eastAsia="zh-CN"/>
        </w:rPr>
      </w:pPr>
    </w:p>
    <w:p>
      <w:pPr>
        <w:pStyle w:val="3"/>
        <w:spacing w:before="0" w:after="0" w:line="360" w:lineRule="auto"/>
        <w:outlineLvl w:val="0"/>
        <w:rPr>
          <w:rFonts w:hint="eastAsia" w:hAnsi="宋体"/>
          <w:color w:val="auto"/>
          <w:sz w:val="32"/>
          <w:szCs w:val="32"/>
          <w:highlight w:val="none"/>
        </w:rPr>
      </w:pPr>
    </w:p>
    <w:p>
      <w:pPr>
        <w:pStyle w:val="3"/>
        <w:pageBreakBefore/>
        <w:spacing w:before="0" w:after="0" w:line="360" w:lineRule="auto"/>
        <w:outlineLvl w:val="0"/>
        <w:rPr>
          <w:rFonts w:hAnsi="宋体"/>
          <w:color w:val="auto"/>
          <w:sz w:val="36"/>
          <w:szCs w:val="24"/>
          <w:highlight w:val="none"/>
        </w:rPr>
      </w:pPr>
      <w:bookmarkStart w:id="61" w:name="_Toc12322"/>
      <w:bookmarkStart w:id="62" w:name="_Toc495679406"/>
      <w:bookmarkStart w:id="63" w:name="_Toc71799154"/>
      <w:bookmarkStart w:id="64" w:name="_Toc133204461"/>
      <w:bookmarkStart w:id="65" w:name="_Toc133137798"/>
      <w:r>
        <w:rPr>
          <w:rFonts w:hint="eastAsia" w:hAnsi="宋体"/>
          <w:color w:val="auto"/>
          <w:sz w:val="36"/>
          <w:szCs w:val="24"/>
          <w:highlight w:val="none"/>
        </w:rPr>
        <w:t>第四章</w:t>
      </w:r>
      <w:r>
        <w:rPr>
          <w:rFonts w:hAnsi="宋体"/>
          <w:color w:val="auto"/>
          <w:sz w:val="36"/>
          <w:szCs w:val="24"/>
          <w:highlight w:val="none"/>
        </w:rPr>
        <w:t xml:space="preserve"> </w:t>
      </w:r>
      <w:r>
        <w:rPr>
          <w:rFonts w:hint="eastAsia" w:hAnsi="宋体"/>
          <w:color w:val="auto"/>
          <w:sz w:val="36"/>
          <w:szCs w:val="24"/>
          <w:highlight w:val="none"/>
        </w:rPr>
        <w:t>评审办法和程序</w:t>
      </w:r>
      <w:bookmarkEnd w:id="61"/>
      <w:bookmarkEnd w:id="62"/>
      <w:bookmarkEnd w:id="63"/>
    </w:p>
    <w:p>
      <w:pPr>
        <w:pStyle w:val="4"/>
        <w:spacing w:before="0" w:after="0" w:line="700" w:lineRule="exact"/>
        <w:rPr>
          <w:rFonts w:ascii="宋体" w:hAnsi="宋体" w:eastAsia="宋体"/>
          <w:bCs/>
          <w:color w:val="auto"/>
          <w:sz w:val="24"/>
          <w:szCs w:val="24"/>
          <w:highlight w:val="none"/>
        </w:rPr>
      </w:pPr>
      <w:bookmarkStart w:id="66" w:name="_Toc495679407"/>
      <w:r>
        <w:rPr>
          <w:rFonts w:hint="eastAsia" w:ascii="宋体" w:hAnsi="宋体" w:eastAsia="宋体"/>
          <w:color w:val="auto"/>
          <w:sz w:val="24"/>
          <w:szCs w:val="24"/>
          <w:highlight w:val="none"/>
        </w:rPr>
        <w:t>一、评审原则</w:t>
      </w:r>
      <w:bookmarkEnd w:id="66"/>
    </w:p>
    <w:p>
      <w:pPr>
        <w:tabs>
          <w:tab w:val="left" w:pos="360"/>
          <w:tab w:val="left" w:pos="720"/>
        </w:tabs>
        <w:spacing w:line="400" w:lineRule="exact"/>
        <w:ind w:firstLine="480" w:firstLineChars="200"/>
        <w:jc w:val="left"/>
        <w:rPr>
          <w:rFonts w:hAnsi="宋体"/>
          <w:color w:val="auto"/>
          <w:sz w:val="24"/>
          <w:szCs w:val="24"/>
          <w:highlight w:val="none"/>
        </w:rPr>
      </w:pPr>
      <w:r>
        <w:rPr>
          <w:rFonts w:hAnsi="宋体"/>
          <w:color w:val="auto"/>
          <w:sz w:val="24"/>
          <w:szCs w:val="24"/>
          <w:highlight w:val="none"/>
        </w:rPr>
        <w:t xml:space="preserve">1. </w:t>
      </w:r>
      <w:r>
        <w:rPr>
          <w:rFonts w:hint="eastAsia" w:hAnsi="宋体"/>
          <w:color w:val="auto"/>
          <w:sz w:val="24"/>
          <w:szCs w:val="24"/>
          <w:highlight w:val="none"/>
        </w:rPr>
        <w:t>本次采购采用竞争性磋商方式进行，评审由依法组成的磋商小组负责完成。评审基本原则：评审工作应依据《中华人民共和国政府采购法》、《政府采购竞争性磋商采购方式管理暂行办法》以及国家和地方政府采购的有关规定，遵循“公开、公平、公正、择优、诚实信用”的原则。</w:t>
      </w:r>
    </w:p>
    <w:p>
      <w:pPr>
        <w:tabs>
          <w:tab w:val="left" w:pos="360"/>
          <w:tab w:val="left" w:pos="720"/>
        </w:tabs>
        <w:spacing w:line="400" w:lineRule="exact"/>
        <w:ind w:firstLine="480" w:firstLineChars="200"/>
        <w:jc w:val="left"/>
        <w:rPr>
          <w:rFonts w:hAnsi="宋体"/>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本次评审是以磋商文件，磋商响应文件和磋商承诺文件和最后报价为依据，按公正、科学、客观、平等竞争的要求，推荐技术先进、报价合理、经验丰富、信誉良好、售后服务好、及综合实力强的成交供应商。</w:t>
      </w:r>
    </w:p>
    <w:p>
      <w:pPr>
        <w:tabs>
          <w:tab w:val="left" w:pos="360"/>
          <w:tab w:val="left" w:pos="720"/>
        </w:tabs>
        <w:spacing w:line="400" w:lineRule="exact"/>
        <w:ind w:firstLine="480" w:firstLineChars="200"/>
        <w:jc w:val="left"/>
        <w:rPr>
          <w:rFonts w:hAnsi="宋体"/>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参加磋商工作的所有人员应遵守《中华人民共和国政府采购法》以及国家和地方政府采购的有关规定，严格保密，确保竞争性磋商工作公平、公正，任何单位和个人不得无理干预磋商小组的正常工作。</w:t>
      </w:r>
    </w:p>
    <w:p>
      <w:pPr>
        <w:tabs>
          <w:tab w:val="left" w:pos="360"/>
          <w:tab w:val="left" w:pos="720"/>
        </w:tabs>
        <w:spacing w:line="400" w:lineRule="exact"/>
        <w:ind w:firstLine="480" w:firstLineChars="200"/>
        <w:rPr>
          <w:rFonts w:hAnsi="宋体"/>
          <w:color w:val="auto"/>
          <w:sz w:val="24"/>
          <w:szCs w:val="24"/>
          <w:highlight w:val="none"/>
        </w:rPr>
      </w:pPr>
      <w:r>
        <w:rPr>
          <w:rFonts w:hAnsi="宋体"/>
          <w:color w:val="auto"/>
          <w:sz w:val="24"/>
          <w:szCs w:val="24"/>
          <w:highlight w:val="none"/>
        </w:rPr>
        <w:t xml:space="preserve">4. </w:t>
      </w:r>
      <w:r>
        <w:rPr>
          <w:rFonts w:hint="eastAsia" w:hAnsi="宋体"/>
          <w:color w:val="auto"/>
          <w:sz w:val="24"/>
          <w:szCs w:val="24"/>
          <w:highlight w:val="none"/>
        </w:rPr>
        <w:t>本次采购采用综合评分法，是指磋商响应文件满足磋商文件全部实质性要求且按评审因素的量化指标评审得分最高的供应商为成交候选供应商的评审方法。</w:t>
      </w:r>
    </w:p>
    <w:p>
      <w:pPr>
        <w:pStyle w:val="4"/>
        <w:spacing w:before="0" w:after="0" w:line="700" w:lineRule="exact"/>
        <w:rPr>
          <w:rFonts w:ascii="宋体" w:hAnsi="宋体" w:eastAsia="宋体"/>
          <w:bCs/>
          <w:color w:val="auto"/>
          <w:sz w:val="24"/>
          <w:szCs w:val="24"/>
          <w:highlight w:val="none"/>
        </w:rPr>
      </w:pPr>
      <w:bookmarkStart w:id="67" w:name="_Toc495679408"/>
      <w:r>
        <w:rPr>
          <w:rFonts w:hint="eastAsia" w:ascii="宋体" w:hAnsi="宋体" w:eastAsia="宋体"/>
          <w:color w:val="auto"/>
          <w:sz w:val="24"/>
          <w:szCs w:val="24"/>
          <w:highlight w:val="none"/>
        </w:rPr>
        <w:t>二、评审程序和评审方法</w:t>
      </w:r>
      <w:bookmarkEnd w:id="67"/>
    </w:p>
    <w:p>
      <w:pPr>
        <w:tabs>
          <w:tab w:val="left" w:pos="720"/>
        </w:tabs>
        <w:spacing w:line="400" w:lineRule="exact"/>
        <w:ind w:left="-779" w:leftChars="-229" w:right="-170" w:rightChars="-50" w:firstLine="549" w:firstLineChars="229"/>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评审流程如下：</w:t>
      </w:r>
    </w:p>
    <w:p>
      <w:pPr>
        <w:tabs>
          <w:tab w:val="left" w:pos="720"/>
        </w:tabs>
        <w:spacing w:line="400" w:lineRule="exact"/>
        <w:ind w:right="-170" w:rightChars="-50" w:firstLine="361" w:firstLineChars="150"/>
        <w:rPr>
          <w:rFonts w:hAnsi="宋体"/>
          <w:b/>
          <w:color w:val="auto"/>
          <w:sz w:val="24"/>
          <w:szCs w:val="24"/>
          <w:highlight w:val="none"/>
        </w:rPr>
      </w:pPr>
      <w:r>
        <w:rPr>
          <w:rFonts w:hAnsi="宋体"/>
          <w:b/>
          <w:color w:val="auto"/>
          <w:sz w:val="24"/>
          <w:szCs w:val="24"/>
          <w:highlight w:val="none"/>
        </w:rPr>
        <w:t xml:space="preserve">1. </w:t>
      </w:r>
      <w:r>
        <w:rPr>
          <w:rFonts w:hint="eastAsia" w:hAnsi="宋体"/>
          <w:b/>
          <w:color w:val="auto"/>
          <w:sz w:val="24"/>
          <w:szCs w:val="24"/>
          <w:highlight w:val="none"/>
        </w:rPr>
        <w:t>评标准备</w:t>
      </w:r>
    </w:p>
    <w:p>
      <w:pPr>
        <w:tabs>
          <w:tab w:val="left" w:pos="720"/>
        </w:tabs>
        <w:spacing w:line="400" w:lineRule="exact"/>
        <w:ind w:right="-170" w:rightChars="-50" w:firstLine="600" w:firstLineChars="250"/>
        <w:rPr>
          <w:rFonts w:hAnsi="宋体"/>
          <w:color w:val="auto"/>
          <w:sz w:val="24"/>
          <w:szCs w:val="24"/>
          <w:highlight w:val="none"/>
        </w:rPr>
      </w:pPr>
      <w:r>
        <w:rPr>
          <w:rFonts w:hint="eastAsia" w:hAnsi="宋体"/>
          <w:color w:val="auto"/>
          <w:sz w:val="24"/>
          <w:szCs w:val="24"/>
          <w:highlight w:val="none"/>
        </w:rPr>
        <w:t>磋商小组成员阅读竞争性磋商文件，了解本次招标的范围和需求，熟悉评标方法；</w:t>
      </w:r>
    </w:p>
    <w:p>
      <w:pPr>
        <w:spacing w:line="400" w:lineRule="exact"/>
        <w:ind w:firstLine="361" w:firstLineChars="150"/>
        <w:rPr>
          <w:rFonts w:hAnsi="宋体"/>
          <w:b/>
          <w:color w:val="auto"/>
          <w:sz w:val="24"/>
          <w:szCs w:val="24"/>
          <w:highlight w:val="none"/>
        </w:rPr>
      </w:pPr>
      <w:r>
        <w:rPr>
          <w:rFonts w:hAnsi="宋体" w:cs="Arial"/>
          <w:b/>
          <w:color w:val="auto"/>
          <w:sz w:val="24"/>
          <w:szCs w:val="24"/>
          <w:highlight w:val="none"/>
        </w:rPr>
        <w:t xml:space="preserve">2. </w:t>
      </w:r>
      <w:r>
        <w:rPr>
          <w:rFonts w:hint="eastAsia" w:hAnsi="宋体" w:cs="Arial"/>
          <w:b/>
          <w:color w:val="auto"/>
          <w:sz w:val="24"/>
          <w:szCs w:val="24"/>
          <w:highlight w:val="none"/>
        </w:rPr>
        <w:t>磋商响应文件初步</w:t>
      </w:r>
      <w:r>
        <w:rPr>
          <w:rFonts w:hint="eastAsia" w:hAnsi="宋体"/>
          <w:b/>
          <w:color w:val="auto"/>
          <w:sz w:val="24"/>
          <w:szCs w:val="24"/>
          <w:highlight w:val="none"/>
        </w:rPr>
        <w:t>评审</w:t>
      </w:r>
    </w:p>
    <w:p>
      <w:pPr>
        <w:tabs>
          <w:tab w:val="left" w:pos="720"/>
          <w:tab w:val="left" w:pos="3675"/>
        </w:tabs>
        <w:spacing w:line="400" w:lineRule="exact"/>
        <w:ind w:firstLine="480" w:firstLineChars="200"/>
        <w:rPr>
          <w:rFonts w:hAnsi="宋体" w:cs="Arial"/>
          <w:color w:val="auto"/>
          <w:sz w:val="24"/>
          <w:szCs w:val="24"/>
          <w:highlight w:val="none"/>
        </w:rPr>
      </w:pPr>
      <w:r>
        <w:rPr>
          <w:rFonts w:hint="eastAsia" w:hAnsi="宋体" w:cs="Arial"/>
          <w:color w:val="auto"/>
          <w:sz w:val="24"/>
          <w:szCs w:val="24"/>
          <w:highlight w:val="none"/>
        </w:rPr>
        <w:t>进入评审程序后，磋商小组先对供应商的磋商响应文件进行初步评审。磋商小组将根据评审办法的规定和《初步评审表》的内容，对磋商响应文件进行初步评审。</w:t>
      </w:r>
    </w:p>
    <w:p>
      <w:pPr>
        <w:tabs>
          <w:tab w:val="left" w:pos="720"/>
          <w:tab w:val="left" w:pos="3675"/>
        </w:tabs>
        <w:spacing w:line="400" w:lineRule="exact"/>
        <w:ind w:firstLine="480" w:firstLineChars="200"/>
        <w:rPr>
          <w:rFonts w:hAnsi="宋体" w:cs="Arial"/>
          <w:color w:val="auto"/>
          <w:sz w:val="24"/>
          <w:szCs w:val="24"/>
          <w:highlight w:val="none"/>
        </w:rPr>
      </w:pPr>
      <w:r>
        <w:rPr>
          <w:rFonts w:hint="eastAsia" w:hAnsi="宋体" w:cs="Arial"/>
          <w:color w:val="auto"/>
          <w:sz w:val="24"/>
          <w:szCs w:val="24"/>
          <w:highlight w:val="none"/>
        </w:rPr>
        <w:t>若出现以下情况，则</w:t>
      </w:r>
      <w:r>
        <w:rPr>
          <w:rFonts w:hint="eastAsia" w:hAnsi="宋体"/>
          <w:color w:val="auto"/>
          <w:sz w:val="24"/>
          <w:szCs w:val="24"/>
          <w:highlight w:val="none"/>
        </w:rPr>
        <w:t>磋商响应</w:t>
      </w:r>
      <w:r>
        <w:rPr>
          <w:rFonts w:hint="eastAsia" w:hAnsi="宋体" w:cs="Arial"/>
          <w:color w:val="auto"/>
          <w:sz w:val="24"/>
          <w:szCs w:val="24"/>
          <w:highlight w:val="none"/>
        </w:rPr>
        <w:t>文件将被认定为不满足采购需求</w:t>
      </w:r>
      <w:r>
        <w:rPr>
          <w:rFonts w:hint="eastAsia" w:hAnsi="宋体"/>
          <w:color w:val="auto"/>
          <w:sz w:val="24"/>
          <w:szCs w:val="24"/>
          <w:highlight w:val="none"/>
        </w:rPr>
        <w:t>而不能通过初步审查</w:t>
      </w:r>
      <w:r>
        <w:rPr>
          <w:rFonts w:hint="eastAsia" w:hAnsi="宋体" w:cs="Arial"/>
          <w:color w:val="auto"/>
          <w:sz w:val="24"/>
          <w:szCs w:val="24"/>
          <w:highlight w:val="none"/>
        </w:rPr>
        <w:t>：</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color w:val="auto"/>
          <w:sz w:val="24"/>
          <w:szCs w:val="24"/>
          <w:highlight w:val="none"/>
        </w:rPr>
        <w:t>磋商响应</w:t>
      </w:r>
      <w:r>
        <w:rPr>
          <w:rFonts w:hint="eastAsia" w:hAnsi="宋体"/>
          <w:bCs/>
          <w:color w:val="auto"/>
          <w:sz w:val="24"/>
          <w:szCs w:val="24"/>
          <w:highlight w:val="none"/>
        </w:rPr>
        <w:t>文件无法定代表人签字，或签字人未经法定代表人授权的；</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bCs/>
          <w:color w:val="auto"/>
          <w:sz w:val="24"/>
          <w:szCs w:val="24"/>
          <w:highlight w:val="none"/>
        </w:rPr>
        <w:t>超出经营范围报价的；</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bCs/>
          <w:color w:val="auto"/>
          <w:sz w:val="24"/>
          <w:szCs w:val="24"/>
          <w:highlight w:val="none"/>
        </w:rPr>
        <w:t>投标有效期不足的；</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color w:val="auto"/>
          <w:sz w:val="24"/>
          <w:szCs w:val="24"/>
          <w:highlight w:val="none"/>
        </w:rPr>
        <w:t>磋商小组根据磋商文件检查磋商响应文件提供的资格证明材料不齐全、不满足磋商文件的要求，并在磋商小组规定的时间未能补充齐全的；</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color w:val="auto"/>
          <w:sz w:val="24"/>
          <w:szCs w:val="24"/>
          <w:highlight w:val="none"/>
        </w:rPr>
        <w:t>磋商小组根据磋商文件对磋商响应文件的商务和技术部分进行初步审查，检查磋商响应文件提交的内容不齐全、不能证明有能力承担本项目的任务、未按磋商文件的要求作出相应的承诺的</w:t>
      </w:r>
      <w:r>
        <w:rPr>
          <w:rFonts w:hint="eastAsia" w:hAnsi="宋体"/>
          <w:bCs/>
          <w:color w:val="auto"/>
          <w:sz w:val="24"/>
          <w:szCs w:val="24"/>
          <w:highlight w:val="none"/>
        </w:rPr>
        <w:t>；</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color w:val="auto"/>
          <w:sz w:val="24"/>
          <w:szCs w:val="24"/>
          <w:highlight w:val="none"/>
        </w:rPr>
        <w:t>报价过低，明显不合理，采购人认为无法保障质量而供应商不能合理说明的；</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color w:val="auto"/>
          <w:sz w:val="24"/>
          <w:szCs w:val="24"/>
          <w:highlight w:val="none"/>
        </w:rPr>
        <w:t>主要技术规格和参数不满足技术参数的要求以及商务有重大负偏离的；</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color w:val="auto"/>
          <w:sz w:val="24"/>
          <w:szCs w:val="24"/>
          <w:highlight w:val="none"/>
        </w:rPr>
        <w:t>磋商小组认为报价未实质性响应磋商文件的要求的；</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color w:val="auto"/>
          <w:sz w:val="24"/>
          <w:szCs w:val="24"/>
          <w:highlight w:val="none"/>
        </w:rPr>
        <w:t>报价超过采购预算且采购人无法接受的；</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bCs/>
          <w:color w:val="auto"/>
          <w:sz w:val="24"/>
          <w:szCs w:val="24"/>
          <w:highlight w:val="none"/>
        </w:rPr>
        <w:t>违反国家和地方政府采购法律法规的；</w:t>
      </w:r>
    </w:p>
    <w:p>
      <w:pPr>
        <w:numPr>
          <w:ilvl w:val="0"/>
          <w:numId w:val="9"/>
        </w:numPr>
        <w:tabs>
          <w:tab w:val="left" w:pos="720"/>
        </w:tabs>
        <w:spacing w:line="400" w:lineRule="exact"/>
        <w:jc w:val="left"/>
        <w:rPr>
          <w:rFonts w:hAnsi="宋体"/>
          <w:bCs/>
          <w:color w:val="auto"/>
          <w:sz w:val="24"/>
          <w:szCs w:val="24"/>
          <w:highlight w:val="none"/>
        </w:rPr>
      </w:pPr>
      <w:r>
        <w:rPr>
          <w:rFonts w:hint="eastAsia" w:hAnsi="宋体"/>
          <w:bCs/>
          <w:color w:val="auto"/>
          <w:sz w:val="24"/>
          <w:szCs w:val="24"/>
          <w:highlight w:val="none"/>
        </w:rPr>
        <w:t>不满足磋商文件规定的其它条件的。</w:t>
      </w:r>
    </w:p>
    <w:p>
      <w:pPr>
        <w:spacing w:line="400" w:lineRule="exact"/>
        <w:ind w:left="289" w:leftChars="85" w:firstLine="480" w:firstLineChars="200"/>
        <w:rPr>
          <w:rFonts w:hAnsi="宋体"/>
          <w:bCs/>
          <w:color w:val="auto"/>
          <w:sz w:val="24"/>
          <w:szCs w:val="24"/>
          <w:highlight w:val="none"/>
        </w:rPr>
      </w:pPr>
      <w:r>
        <w:rPr>
          <w:rFonts w:hint="eastAsia" w:hAnsi="宋体"/>
          <w:bCs/>
          <w:color w:val="auto"/>
          <w:sz w:val="24"/>
          <w:szCs w:val="24"/>
          <w:highlight w:val="none"/>
        </w:rPr>
        <w:t>初步评审采用</w:t>
      </w:r>
      <w:r>
        <w:rPr>
          <w:rFonts w:hint="eastAsia" w:hAnsi="宋体"/>
          <w:color w:val="auto"/>
          <w:sz w:val="24"/>
          <w:szCs w:val="24"/>
          <w:highlight w:val="none"/>
        </w:rPr>
        <w:t>“一项否决”的原则，只有全部符合要求的才能通过初步评审。</w:t>
      </w:r>
    </w:p>
    <w:p>
      <w:pPr>
        <w:spacing w:line="400" w:lineRule="exact"/>
        <w:ind w:firstLine="361" w:firstLineChars="150"/>
        <w:rPr>
          <w:rFonts w:hAnsi="宋体"/>
          <w:b/>
          <w:color w:val="auto"/>
          <w:sz w:val="24"/>
          <w:szCs w:val="24"/>
          <w:highlight w:val="none"/>
        </w:rPr>
      </w:pPr>
      <w:r>
        <w:rPr>
          <w:rFonts w:hint="eastAsia" w:hAnsi="宋体"/>
          <w:b/>
          <w:color w:val="auto"/>
          <w:sz w:val="24"/>
          <w:szCs w:val="24"/>
          <w:highlight w:val="none"/>
        </w:rPr>
        <w:t>3.磋商</w:t>
      </w:r>
    </w:p>
    <w:p>
      <w:pPr>
        <w:spacing w:line="400" w:lineRule="exact"/>
        <w:ind w:firstLine="600" w:firstLineChars="250"/>
        <w:rPr>
          <w:rFonts w:hAnsi="宋体"/>
          <w:color w:val="auto"/>
          <w:sz w:val="24"/>
          <w:szCs w:val="24"/>
          <w:highlight w:val="none"/>
        </w:rPr>
      </w:pPr>
      <w:r>
        <w:rPr>
          <w:rFonts w:hint="eastAsia" w:hAnsi="宋体"/>
          <w:color w:val="auto"/>
          <w:sz w:val="24"/>
          <w:szCs w:val="24"/>
          <w:highlight w:val="none"/>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对磋商文件作出的实质性变动是磋商文件的有效组成部分，磋商小组应当及</w:t>
      </w:r>
      <w:r>
        <w:rPr>
          <w:rFonts w:hAnsi="宋体"/>
          <w:color w:val="auto"/>
          <w:sz w:val="24"/>
          <w:szCs w:val="24"/>
          <w:highlight w:val="none"/>
        </w:rPr>
        <w:t xml:space="preserve"> </w:t>
      </w:r>
      <w:r>
        <w:rPr>
          <w:rFonts w:hint="eastAsia" w:hAnsi="宋体"/>
          <w:color w:val="auto"/>
          <w:sz w:val="24"/>
          <w:szCs w:val="24"/>
          <w:highlight w:val="none"/>
        </w:rPr>
        <w:t>时以书面形式同时通知所有参加磋商的供应商。</w:t>
      </w:r>
    </w:p>
    <w:p>
      <w:pPr>
        <w:spacing w:line="360" w:lineRule="auto"/>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82" w:firstLineChars="200"/>
        <w:rPr>
          <w:rFonts w:hAnsi="宋体"/>
          <w:b/>
          <w:color w:val="auto"/>
          <w:sz w:val="24"/>
          <w:szCs w:val="24"/>
          <w:highlight w:val="none"/>
        </w:rPr>
      </w:pPr>
      <w:r>
        <w:rPr>
          <w:rFonts w:hAnsi="宋体"/>
          <w:b/>
          <w:color w:val="auto"/>
          <w:sz w:val="24"/>
          <w:szCs w:val="24"/>
          <w:highlight w:val="none"/>
        </w:rPr>
        <w:t xml:space="preserve">4. </w:t>
      </w:r>
      <w:r>
        <w:rPr>
          <w:rFonts w:hint="eastAsia" w:hAnsi="宋体"/>
          <w:b/>
          <w:color w:val="auto"/>
          <w:sz w:val="24"/>
          <w:szCs w:val="24"/>
          <w:highlight w:val="none"/>
        </w:rPr>
        <w:t>最后报价</w:t>
      </w:r>
    </w:p>
    <w:p>
      <w:pPr>
        <w:spacing w:line="360" w:lineRule="auto"/>
        <w:ind w:firstLine="560"/>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磋商结束后，磋商小组应当要求所有实质性响应的供应商在规定时间内提交最后报价，提交最后报价的供应商不得少于</w:t>
      </w:r>
      <w:r>
        <w:rPr>
          <w:rFonts w:hAnsi="宋体"/>
          <w:color w:val="auto"/>
          <w:sz w:val="24"/>
          <w:szCs w:val="24"/>
          <w:highlight w:val="none"/>
        </w:rPr>
        <w:t>3</w:t>
      </w:r>
      <w:r>
        <w:rPr>
          <w:rFonts w:hint="eastAsia" w:hAnsi="宋体"/>
          <w:color w:val="auto"/>
          <w:sz w:val="24"/>
          <w:szCs w:val="24"/>
          <w:highlight w:val="none"/>
        </w:rPr>
        <w:t>家（符合市场竞争不充分的科研项目，以及需要扶持的科技成果转化项目情形的，提交最后报价的供应商可以为2家）。已提交响应文件的供应商，在提交最后报价之前，可以根据磋商情况退出磋商。</w:t>
      </w:r>
    </w:p>
    <w:p>
      <w:pPr>
        <w:spacing w:line="400" w:lineRule="exact"/>
        <w:ind w:firstLine="482" w:firstLineChars="200"/>
        <w:rPr>
          <w:rFonts w:hAnsi="宋体"/>
          <w:b/>
          <w:color w:val="auto"/>
          <w:sz w:val="24"/>
          <w:szCs w:val="24"/>
          <w:highlight w:val="none"/>
        </w:rPr>
      </w:pPr>
      <w:r>
        <w:rPr>
          <w:rFonts w:hAnsi="宋体"/>
          <w:b/>
          <w:color w:val="auto"/>
          <w:sz w:val="24"/>
          <w:szCs w:val="24"/>
          <w:highlight w:val="none"/>
        </w:rPr>
        <w:t xml:space="preserve">5. </w:t>
      </w:r>
      <w:r>
        <w:rPr>
          <w:rFonts w:hint="eastAsia" w:hAnsi="宋体"/>
          <w:b/>
          <w:color w:val="auto"/>
          <w:sz w:val="24"/>
          <w:szCs w:val="24"/>
          <w:highlight w:val="none"/>
        </w:rPr>
        <w:t>综合评审</w:t>
      </w:r>
    </w:p>
    <w:p>
      <w:pPr>
        <w:spacing w:line="400" w:lineRule="exact"/>
        <w:ind w:firstLine="480" w:firstLineChars="200"/>
        <w:rPr>
          <w:rFonts w:hint="eastAsia" w:hAnsi="宋体"/>
          <w:color w:val="auto"/>
          <w:sz w:val="24"/>
          <w:szCs w:val="24"/>
          <w:highlight w:val="none"/>
        </w:rPr>
      </w:pPr>
      <w:r>
        <w:rPr>
          <w:rFonts w:hint="eastAsia" w:hAnsi="宋体"/>
          <w:color w:val="auto"/>
          <w:sz w:val="24"/>
          <w:szCs w:val="24"/>
          <w:highlight w:val="none"/>
        </w:rPr>
        <w:t>经磋商确定最终采购需求和提交最后报价的供应商后，由磋商小组采用综合评分法对提交最后报价的供应商的响应文件和最后报价进行综合评分。（详见《综合评分表》）</w:t>
      </w:r>
    </w:p>
    <w:p>
      <w:pPr>
        <w:spacing w:line="400" w:lineRule="exact"/>
        <w:ind w:firstLine="480" w:firstLineChars="200"/>
        <w:rPr>
          <w:rFonts w:hAnsi="宋体"/>
          <w:color w:val="auto"/>
          <w:sz w:val="24"/>
          <w:szCs w:val="24"/>
          <w:highlight w:val="none"/>
        </w:rPr>
      </w:pPr>
      <w:r>
        <w:rPr>
          <w:rFonts w:hint="eastAsia" w:hAnsi="宋体"/>
          <w:color w:val="auto"/>
          <w:sz w:val="24"/>
          <w:highlight w:val="none"/>
        </w:rPr>
        <w:t>注：符合“第三章供应商须知</w:t>
      </w:r>
      <w:r>
        <w:rPr>
          <w:rFonts w:hAnsi="宋体"/>
          <w:color w:val="auto"/>
          <w:sz w:val="24"/>
          <w:highlight w:val="none"/>
        </w:rPr>
        <w:t>34.</w:t>
      </w:r>
      <w:r>
        <w:rPr>
          <w:rFonts w:hint="eastAsia" w:hAnsi="宋体"/>
          <w:color w:val="auto"/>
          <w:sz w:val="24"/>
          <w:highlight w:val="none"/>
        </w:rPr>
        <w:t>关于政策性优惠政策”中规定的相关条件的，应给予相应比例的价格扣除，</w:t>
      </w:r>
      <w:r>
        <w:rPr>
          <w:rFonts w:hint="eastAsia" w:hAnsi="宋体" w:cs="宋体"/>
          <w:color w:val="auto"/>
          <w:sz w:val="24"/>
          <w:szCs w:val="24"/>
          <w:highlight w:val="none"/>
        </w:rPr>
        <w:t>用扣除后的价格参与</w:t>
      </w:r>
      <w:r>
        <w:rPr>
          <w:rFonts w:hint="eastAsia" w:hAnsi="宋体"/>
          <w:color w:val="auto"/>
          <w:sz w:val="24"/>
          <w:highlight w:val="none"/>
        </w:rPr>
        <w:t>评审。</w:t>
      </w:r>
    </w:p>
    <w:p>
      <w:pPr>
        <w:spacing w:line="400" w:lineRule="exact"/>
        <w:ind w:firstLine="480" w:firstLineChars="200"/>
        <w:rPr>
          <w:rFonts w:hAnsi="宋体"/>
          <w:color w:val="auto"/>
          <w:sz w:val="24"/>
          <w:szCs w:val="24"/>
          <w:highlight w:val="none"/>
        </w:rPr>
      </w:pPr>
      <w:r>
        <w:rPr>
          <w:rFonts w:hAnsi="宋体"/>
          <w:color w:val="auto"/>
          <w:sz w:val="24"/>
          <w:szCs w:val="24"/>
          <w:highlight w:val="none"/>
        </w:rPr>
        <w:t xml:space="preserve">6. </w:t>
      </w:r>
      <w:r>
        <w:rPr>
          <w:rFonts w:hint="eastAsia" w:hAnsi="宋体"/>
          <w:color w:val="auto"/>
          <w:sz w:val="24"/>
          <w:szCs w:val="24"/>
          <w:highlight w:val="none"/>
        </w:rPr>
        <w:t>推荐成交供应商</w:t>
      </w:r>
    </w:p>
    <w:p>
      <w:pPr>
        <w:spacing w:line="400" w:lineRule="exact"/>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磋商小组应当根据综合评分情况，按照评审得分由高到低顺序推荐</w:t>
      </w:r>
      <w:r>
        <w:rPr>
          <w:rFonts w:hAnsi="宋体"/>
          <w:color w:val="auto"/>
          <w:sz w:val="24"/>
          <w:szCs w:val="24"/>
          <w:highlight w:val="none"/>
        </w:rPr>
        <w:t>3</w:t>
      </w:r>
      <w:r>
        <w:rPr>
          <w:rFonts w:hint="eastAsia" w:hAnsi="宋体"/>
          <w:color w:val="auto"/>
          <w:sz w:val="24"/>
          <w:szCs w:val="24"/>
          <w:highlight w:val="none"/>
        </w:rPr>
        <w:t>名成交候选供应商，并编写评审报告。评审得分相同的，按照最后报价由低到高的顺序推荐。评审得分且最后报价相同的，按照技术指标优劣顺序推荐。</w:t>
      </w:r>
    </w:p>
    <w:p>
      <w:pPr>
        <w:pStyle w:val="4"/>
        <w:spacing w:before="0" w:after="0" w:line="700" w:lineRule="exact"/>
        <w:rPr>
          <w:rFonts w:ascii="宋体" w:hAnsi="宋体" w:eastAsia="宋体"/>
          <w:bCs/>
          <w:color w:val="auto"/>
          <w:sz w:val="24"/>
          <w:szCs w:val="24"/>
          <w:highlight w:val="none"/>
        </w:rPr>
      </w:pPr>
      <w:bookmarkStart w:id="68" w:name="_Toc495679409"/>
      <w:r>
        <w:rPr>
          <w:rFonts w:hint="eastAsia" w:ascii="宋体" w:hAnsi="宋体" w:eastAsia="宋体"/>
          <w:color w:val="auto"/>
          <w:sz w:val="24"/>
          <w:szCs w:val="24"/>
          <w:highlight w:val="none"/>
        </w:rPr>
        <w:t>三、磋商、评审过程的保密性</w:t>
      </w:r>
      <w:bookmarkEnd w:id="68"/>
    </w:p>
    <w:p>
      <w:pPr>
        <w:numPr>
          <w:ilvl w:val="0"/>
          <w:numId w:val="10"/>
        </w:numPr>
        <w:tabs>
          <w:tab w:val="left" w:pos="720"/>
        </w:tabs>
        <w:spacing w:line="400" w:lineRule="exact"/>
        <w:jc w:val="left"/>
        <w:rPr>
          <w:rFonts w:hint="eastAsia" w:hAnsi="宋体"/>
          <w:color w:val="auto"/>
          <w:sz w:val="24"/>
          <w:szCs w:val="24"/>
          <w:highlight w:val="none"/>
        </w:rPr>
      </w:pPr>
      <w:r>
        <w:rPr>
          <w:rFonts w:hint="eastAsia" w:hAnsi="宋体"/>
          <w:color w:val="auto"/>
          <w:sz w:val="24"/>
          <w:szCs w:val="24"/>
          <w:highlight w:val="none"/>
        </w:rPr>
        <w:t>采购人、采购代理机构应当按照政府采购法和本办法的规定组织开展竞争性磋商，并采取必要措施，保证磋商在严格保密的情况下进行。任何单位和个人不得非法干预、影响磋商过程和结果。</w:t>
      </w:r>
    </w:p>
    <w:p>
      <w:pPr>
        <w:numPr>
          <w:ilvl w:val="0"/>
          <w:numId w:val="10"/>
        </w:numPr>
        <w:tabs>
          <w:tab w:val="left" w:pos="720"/>
        </w:tabs>
        <w:spacing w:line="400" w:lineRule="exact"/>
        <w:jc w:val="left"/>
        <w:rPr>
          <w:rFonts w:hAnsi="宋体"/>
          <w:color w:val="auto"/>
          <w:sz w:val="24"/>
          <w:szCs w:val="24"/>
          <w:highlight w:val="none"/>
        </w:rPr>
      </w:pPr>
      <w:r>
        <w:rPr>
          <w:rFonts w:hint="eastAsia" w:hAnsi="宋体"/>
          <w:color w:val="auto"/>
          <w:sz w:val="24"/>
          <w:szCs w:val="24"/>
          <w:highlight w:val="none"/>
        </w:rPr>
        <w:t>接受报价后，直至成交供应商与买方签订合同后止，凡与磋商、审查、澄清、评价、比较、确定成交人意见有关的内容，任何人均不得向供应商及与磋商评审无关的其他人透露。</w:t>
      </w:r>
    </w:p>
    <w:p>
      <w:pPr>
        <w:numPr>
          <w:ilvl w:val="0"/>
          <w:numId w:val="10"/>
        </w:numPr>
        <w:tabs>
          <w:tab w:val="left" w:pos="720"/>
        </w:tabs>
        <w:spacing w:line="400" w:lineRule="exact"/>
        <w:jc w:val="left"/>
        <w:rPr>
          <w:rFonts w:hAnsi="宋体"/>
          <w:color w:val="auto"/>
          <w:sz w:val="24"/>
          <w:szCs w:val="24"/>
          <w:highlight w:val="none"/>
        </w:rPr>
      </w:pPr>
      <w:r>
        <w:rPr>
          <w:rFonts w:hint="eastAsia" w:hAnsi="宋体"/>
          <w:color w:val="auto"/>
          <w:sz w:val="24"/>
          <w:szCs w:val="24"/>
          <w:highlight w:val="none"/>
        </w:rPr>
        <w:t>从磋商响应文件递交截止时间起到确定成交供应商之日止，供应商不得与参加磋商、评审的有关人员私下接触。在磋商评审过程中，如果供应商试图在磋商响应文件审查、澄清、比较及推荐成交供应商方面向参与磋商评审的有关人员和采购人施加任何影响，其磋商响应文件将被拒绝。</w:t>
      </w:r>
    </w:p>
    <w:p>
      <w:pPr>
        <w:pStyle w:val="4"/>
        <w:spacing w:before="0" w:after="0" w:line="700" w:lineRule="exact"/>
        <w:rPr>
          <w:rFonts w:ascii="宋体" w:hAnsi="宋体" w:eastAsia="宋体"/>
          <w:bCs/>
          <w:color w:val="auto"/>
          <w:sz w:val="24"/>
          <w:szCs w:val="24"/>
          <w:highlight w:val="none"/>
        </w:rPr>
      </w:pPr>
      <w:bookmarkStart w:id="69" w:name="_Toc495679410"/>
      <w:r>
        <w:rPr>
          <w:rFonts w:hint="eastAsia" w:ascii="宋体" w:hAnsi="宋体" w:eastAsia="宋体"/>
          <w:color w:val="auto"/>
          <w:sz w:val="24"/>
          <w:szCs w:val="24"/>
          <w:highlight w:val="none"/>
        </w:rPr>
        <w:t>四、</w:t>
      </w:r>
      <w:bookmarkEnd w:id="69"/>
      <w:r>
        <w:rPr>
          <w:rFonts w:hint="eastAsia" w:ascii="宋体" w:hAnsi="宋体" w:cs="宋体"/>
          <w:color w:val="auto"/>
          <w:sz w:val="23"/>
          <w:szCs w:val="23"/>
          <w:highlight w:val="none"/>
        </w:rPr>
        <w:t>澄清、说明或者更正</w:t>
      </w:r>
    </w:p>
    <w:p>
      <w:pPr>
        <w:spacing w:line="400" w:lineRule="exact"/>
        <w:ind w:firstLine="345" w:firstLineChars="150"/>
        <w:rPr>
          <w:rFonts w:hint="eastAsia" w:hAnsi="宋体" w:cs="宋体"/>
          <w:color w:val="auto"/>
          <w:sz w:val="23"/>
          <w:szCs w:val="23"/>
          <w:highlight w:val="none"/>
        </w:rPr>
      </w:pPr>
      <w:r>
        <w:rPr>
          <w:rFonts w:hint="eastAsia" w:hAnsi="宋体" w:cs="宋体"/>
          <w:color w:val="auto"/>
          <w:sz w:val="23"/>
          <w:szCs w:val="23"/>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45" w:firstLineChars="150"/>
        <w:rPr>
          <w:rFonts w:hAnsi="宋体"/>
          <w:color w:val="auto"/>
          <w:sz w:val="24"/>
          <w:szCs w:val="24"/>
          <w:highlight w:val="none"/>
        </w:rPr>
      </w:pPr>
      <w:r>
        <w:rPr>
          <w:rFonts w:hint="eastAsia" w:hAnsi="宋体" w:cs="宋体"/>
          <w:color w:val="auto"/>
          <w:sz w:val="23"/>
          <w:szCs w:val="23"/>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
        <w:spacing w:before="0" w:after="0" w:line="700" w:lineRule="exact"/>
        <w:rPr>
          <w:rFonts w:ascii="宋体" w:hAnsi="宋体" w:eastAsia="宋体"/>
          <w:bCs/>
          <w:color w:val="auto"/>
          <w:sz w:val="24"/>
          <w:szCs w:val="24"/>
          <w:highlight w:val="none"/>
        </w:rPr>
      </w:pPr>
      <w:bookmarkStart w:id="70" w:name="_Toc495679411"/>
      <w:r>
        <w:rPr>
          <w:rFonts w:hint="eastAsia" w:ascii="宋体" w:hAnsi="宋体" w:eastAsia="宋体"/>
          <w:color w:val="auto"/>
          <w:sz w:val="24"/>
          <w:szCs w:val="24"/>
          <w:highlight w:val="none"/>
        </w:rPr>
        <w:t>五、变更技术方案的权利</w:t>
      </w:r>
      <w:bookmarkEnd w:id="70"/>
    </w:p>
    <w:p>
      <w:pPr>
        <w:spacing w:line="400" w:lineRule="exact"/>
        <w:ind w:right="680" w:rightChars="200" w:firstLine="480" w:firstLineChars="200"/>
        <w:rPr>
          <w:rFonts w:hint="eastAsia" w:hAnsi="宋体"/>
          <w:color w:val="auto"/>
          <w:sz w:val="24"/>
          <w:szCs w:val="24"/>
          <w:highlight w:val="none"/>
        </w:rPr>
      </w:pPr>
      <w:r>
        <w:rPr>
          <w:rFonts w:hint="eastAsia" w:hAnsi="宋体"/>
          <w:color w:val="auto"/>
          <w:sz w:val="24"/>
          <w:szCs w:val="24"/>
          <w:highlight w:val="none"/>
        </w:rPr>
        <w:t>在竞争性磋商过程中，采购人有权变更技术方案或采购数量，但不超过原合同采购金额的百分之十，如果供应商根据采购人提出的变更要求调整方案或价格后未能获得合同，采购人和采购代理机构不承担任何责任。</w:t>
      </w:r>
    </w:p>
    <w:p>
      <w:pPr>
        <w:spacing w:line="400" w:lineRule="exact"/>
        <w:ind w:right="680" w:rightChars="200" w:firstLine="480" w:firstLineChars="200"/>
        <w:rPr>
          <w:rFonts w:hAnsi="宋体"/>
          <w:color w:val="auto"/>
          <w:sz w:val="24"/>
          <w:szCs w:val="24"/>
          <w:highlight w:val="none"/>
        </w:rPr>
      </w:pPr>
    </w:p>
    <w:p>
      <w:pPr>
        <w:widowControl/>
        <w:jc w:val="left"/>
        <w:rPr>
          <w:rFonts w:hAnsi="宋体"/>
          <w:color w:val="auto"/>
          <w:sz w:val="24"/>
          <w:szCs w:val="24"/>
          <w:highlight w:val="none"/>
        </w:rPr>
      </w:pPr>
      <w:r>
        <w:rPr>
          <w:rFonts w:hAnsi="宋体"/>
          <w:color w:val="auto"/>
          <w:sz w:val="24"/>
          <w:szCs w:val="24"/>
          <w:highlight w:val="none"/>
        </w:rPr>
        <w:br w:type="page"/>
      </w:r>
    </w:p>
    <w:p>
      <w:pPr>
        <w:pStyle w:val="4"/>
        <w:spacing w:before="0" w:after="0" w:line="700" w:lineRule="exact"/>
        <w:rPr>
          <w:rFonts w:ascii="宋体" w:hAnsi="宋体" w:eastAsia="宋体"/>
          <w:bCs/>
          <w:color w:val="auto"/>
          <w:sz w:val="24"/>
          <w:szCs w:val="24"/>
          <w:highlight w:val="none"/>
        </w:rPr>
      </w:pPr>
      <w:bookmarkStart w:id="71" w:name="_Toc495679412"/>
      <w:r>
        <w:rPr>
          <w:rFonts w:hint="eastAsia" w:ascii="宋体" w:hAnsi="宋体" w:eastAsia="宋体"/>
          <w:color w:val="auto"/>
          <w:sz w:val="24"/>
          <w:szCs w:val="24"/>
          <w:highlight w:val="none"/>
        </w:rPr>
        <w:t>六、初步评审表</w:t>
      </w:r>
      <w:bookmarkEnd w:id="71"/>
    </w:p>
    <w:p>
      <w:pPr>
        <w:pStyle w:val="4"/>
        <w:spacing w:before="0" w:after="0" w:line="700" w:lineRule="exact"/>
        <w:jc w:val="center"/>
        <w:rPr>
          <w:rFonts w:ascii="黑体" w:cs="黑体"/>
          <w:color w:val="auto"/>
          <w:sz w:val="24"/>
          <w:szCs w:val="24"/>
          <w:highlight w:val="none"/>
        </w:rPr>
      </w:pPr>
      <w:bookmarkStart w:id="72" w:name="_Toc495679413"/>
      <w:r>
        <w:rPr>
          <w:rFonts w:hint="eastAsia" w:ascii="黑体" w:hAnsi="黑体" w:cs="黑体"/>
          <w:color w:val="auto"/>
          <w:sz w:val="24"/>
          <w:szCs w:val="24"/>
          <w:highlight w:val="none"/>
        </w:rPr>
        <w:t>初步评审表</w:t>
      </w:r>
      <w:bookmarkEnd w:id="72"/>
    </w:p>
    <w:tbl>
      <w:tblPr>
        <w:tblStyle w:val="17"/>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868"/>
        <w:gridCol w:w="4199"/>
        <w:gridCol w:w="576"/>
        <w:gridCol w:w="74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0" w:type="dxa"/>
            <w:vMerge w:val="restart"/>
            <w:noWrap w:val="0"/>
            <w:vAlign w:val="center"/>
          </w:tcPr>
          <w:p>
            <w:pPr>
              <w:spacing w:line="360" w:lineRule="auto"/>
              <w:jc w:val="center"/>
              <w:rPr>
                <w:rFonts w:hAnsi="宋体"/>
                <w:b/>
                <w:color w:val="auto"/>
                <w:sz w:val="24"/>
                <w:szCs w:val="24"/>
                <w:highlight w:val="none"/>
              </w:rPr>
            </w:pPr>
            <w:r>
              <w:rPr>
                <w:rFonts w:hint="eastAsia" w:hAnsi="宋体"/>
                <w:b/>
                <w:color w:val="auto"/>
                <w:sz w:val="24"/>
                <w:szCs w:val="24"/>
                <w:highlight w:val="none"/>
              </w:rPr>
              <w:t>序号</w:t>
            </w:r>
          </w:p>
        </w:tc>
        <w:tc>
          <w:tcPr>
            <w:tcW w:w="1868" w:type="dxa"/>
            <w:vMerge w:val="restart"/>
            <w:noWrap w:val="0"/>
            <w:vAlign w:val="center"/>
          </w:tcPr>
          <w:p>
            <w:pPr>
              <w:spacing w:line="360" w:lineRule="auto"/>
              <w:jc w:val="center"/>
              <w:rPr>
                <w:rFonts w:hAnsi="宋体"/>
                <w:b/>
                <w:color w:val="auto"/>
                <w:sz w:val="24"/>
                <w:szCs w:val="24"/>
                <w:highlight w:val="none"/>
              </w:rPr>
            </w:pPr>
            <w:r>
              <w:rPr>
                <w:rFonts w:hint="eastAsia" w:hAnsi="宋体"/>
                <w:b/>
                <w:color w:val="auto"/>
                <w:sz w:val="24"/>
                <w:szCs w:val="24"/>
                <w:highlight w:val="none"/>
              </w:rPr>
              <w:t>审查项目</w:t>
            </w:r>
          </w:p>
        </w:tc>
        <w:tc>
          <w:tcPr>
            <w:tcW w:w="4199" w:type="dxa"/>
            <w:vMerge w:val="restart"/>
            <w:noWrap w:val="0"/>
            <w:vAlign w:val="center"/>
          </w:tcPr>
          <w:p>
            <w:pPr>
              <w:spacing w:line="360" w:lineRule="auto"/>
              <w:jc w:val="center"/>
              <w:rPr>
                <w:rFonts w:hAnsi="宋体"/>
                <w:b/>
                <w:color w:val="auto"/>
                <w:sz w:val="24"/>
                <w:szCs w:val="24"/>
                <w:highlight w:val="none"/>
              </w:rPr>
            </w:pPr>
            <w:r>
              <w:rPr>
                <w:rFonts w:hint="eastAsia" w:hAnsi="宋体"/>
                <w:b/>
                <w:color w:val="auto"/>
                <w:sz w:val="24"/>
                <w:szCs w:val="24"/>
                <w:highlight w:val="none"/>
              </w:rPr>
              <w:t>评议内容（无效投标认定条件）</w:t>
            </w:r>
          </w:p>
        </w:tc>
        <w:tc>
          <w:tcPr>
            <w:tcW w:w="2071" w:type="dxa"/>
            <w:gridSpan w:val="3"/>
            <w:noWrap w:val="0"/>
            <w:vAlign w:val="center"/>
          </w:tcPr>
          <w:p>
            <w:pPr>
              <w:spacing w:line="360" w:lineRule="auto"/>
              <w:jc w:val="center"/>
              <w:rPr>
                <w:rFonts w:hAnsi="宋体"/>
                <w:b/>
                <w:color w:val="auto"/>
                <w:sz w:val="24"/>
                <w:szCs w:val="24"/>
                <w:highlight w:val="none"/>
              </w:rPr>
            </w:pPr>
            <w:r>
              <w:rPr>
                <w:rFonts w:hint="eastAsia" w:hAnsi="宋体"/>
                <w:b/>
                <w:color w:val="auto"/>
                <w:sz w:val="24"/>
                <w:szCs w:val="24"/>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0" w:type="dxa"/>
            <w:vMerge w:val="continue"/>
            <w:noWrap w:val="0"/>
            <w:vAlign w:val="center"/>
          </w:tcPr>
          <w:p>
            <w:pPr>
              <w:spacing w:line="360" w:lineRule="auto"/>
              <w:jc w:val="center"/>
              <w:rPr>
                <w:rFonts w:hAnsi="宋体"/>
                <w:b/>
                <w:color w:val="auto"/>
                <w:sz w:val="24"/>
                <w:szCs w:val="24"/>
                <w:highlight w:val="none"/>
              </w:rPr>
            </w:pPr>
          </w:p>
        </w:tc>
        <w:tc>
          <w:tcPr>
            <w:tcW w:w="1868" w:type="dxa"/>
            <w:vMerge w:val="continue"/>
            <w:noWrap w:val="0"/>
            <w:vAlign w:val="center"/>
          </w:tcPr>
          <w:p>
            <w:pPr>
              <w:spacing w:line="360" w:lineRule="auto"/>
              <w:jc w:val="center"/>
              <w:rPr>
                <w:rFonts w:hAnsi="宋体"/>
                <w:b/>
                <w:color w:val="auto"/>
                <w:sz w:val="24"/>
                <w:szCs w:val="24"/>
                <w:highlight w:val="none"/>
              </w:rPr>
            </w:pPr>
          </w:p>
        </w:tc>
        <w:tc>
          <w:tcPr>
            <w:tcW w:w="4199" w:type="dxa"/>
            <w:vMerge w:val="continue"/>
            <w:noWrap w:val="0"/>
            <w:vAlign w:val="center"/>
          </w:tcPr>
          <w:p>
            <w:pPr>
              <w:spacing w:line="360" w:lineRule="auto"/>
              <w:jc w:val="center"/>
              <w:rPr>
                <w:rFonts w:hAnsi="宋体"/>
                <w:b/>
                <w:color w:val="auto"/>
                <w:sz w:val="24"/>
                <w:szCs w:val="24"/>
                <w:highlight w:val="none"/>
              </w:rPr>
            </w:pPr>
          </w:p>
        </w:tc>
        <w:tc>
          <w:tcPr>
            <w:tcW w:w="576" w:type="dxa"/>
            <w:noWrap w:val="0"/>
            <w:vAlign w:val="center"/>
          </w:tcPr>
          <w:p>
            <w:pPr>
              <w:spacing w:line="360" w:lineRule="auto"/>
              <w:jc w:val="center"/>
              <w:rPr>
                <w:rFonts w:hAnsi="宋体"/>
                <w:b/>
                <w:color w:val="auto"/>
                <w:sz w:val="24"/>
                <w:szCs w:val="24"/>
                <w:highlight w:val="none"/>
              </w:rPr>
            </w:pPr>
            <w:r>
              <w:rPr>
                <w:rFonts w:hAnsi="宋体"/>
                <w:b/>
                <w:color w:val="auto"/>
                <w:sz w:val="24"/>
                <w:szCs w:val="24"/>
                <w:highlight w:val="none"/>
              </w:rPr>
              <w:t>1#</w:t>
            </w:r>
          </w:p>
        </w:tc>
        <w:tc>
          <w:tcPr>
            <w:tcW w:w="747" w:type="dxa"/>
            <w:noWrap w:val="0"/>
            <w:vAlign w:val="center"/>
          </w:tcPr>
          <w:p>
            <w:pPr>
              <w:spacing w:line="360" w:lineRule="auto"/>
              <w:jc w:val="center"/>
              <w:rPr>
                <w:rFonts w:hAnsi="宋体"/>
                <w:b/>
                <w:color w:val="auto"/>
                <w:sz w:val="24"/>
                <w:szCs w:val="24"/>
                <w:highlight w:val="none"/>
              </w:rPr>
            </w:pPr>
            <w:r>
              <w:rPr>
                <w:rFonts w:hAnsi="宋体"/>
                <w:b/>
                <w:color w:val="auto"/>
                <w:sz w:val="24"/>
                <w:szCs w:val="24"/>
                <w:highlight w:val="none"/>
              </w:rPr>
              <w:t>2#</w:t>
            </w:r>
          </w:p>
        </w:tc>
        <w:tc>
          <w:tcPr>
            <w:tcW w:w="748" w:type="dxa"/>
            <w:noWrap w:val="0"/>
            <w:vAlign w:val="center"/>
          </w:tcPr>
          <w:p>
            <w:pPr>
              <w:spacing w:line="360" w:lineRule="auto"/>
              <w:jc w:val="center"/>
              <w:rPr>
                <w:rFonts w:hAnsi="宋体"/>
                <w:b/>
                <w:color w:val="auto"/>
                <w:sz w:val="24"/>
                <w:szCs w:val="24"/>
                <w:highlight w:val="none"/>
              </w:rPr>
            </w:pPr>
            <w:r>
              <w:rPr>
                <w:rFonts w:hAnsi="宋体"/>
                <w:b/>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40" w:type="dxa"/>
            <w:noWrap w:val="0"/>
            <w:vAlign w:val="center"/>
          </w:tcPr>
          <w:p>
            <w:pPr>
              <w:spacing w:line="360" w:lineRule="auto"/>
              <w:jc w:val="center"/>
              <w:rPr>
                <w:rFonts w:hAnsi="宋体"/>
                <w:color w:val="auto"/>
                <w:sz w:val="24"/>
                <w:szCs w:val="24"/>
                <w:highlight w:val="none"/>
              </w:rPr>
            </w:pPr>
            <w:r>
              <w:rPr>
                <w:rFonts w:hAnsi="宋体"/>
                <w:color w:val="auto"/>
                <w:sz w:val="24"/>
                <w:szCs w:val="24"/>
                <w:highlight w:val="none"/>
              </w:rPr>
              <w:t>1</w:t>
            </w:r>
          </w:p>
        </w:tc>
        <w:tc>
          <w:tcPr>
            <w:tcW w:w="1868" w:type="dxa"/>
            <w:noWrap w:val="0"/>
            <w:vAlign w:val="center"/>
          </w:tcPr>
          <w:p>
            <w:pPr>
              <w:spacing w:line="360" w:lineRule="auto"/>
              <w:jc w:val="center"/>
              <w:rPr>
                <w:rFonts w:hAnsi="宋体"/>
                <w:color w:val="auto"/>
                <w:sz w:val="24"/>
                <w:szCs w:val="24"/>
                <w:highlight w:val="none"/>
              </w:rPr>
            </w:pPr>
            <w:r>
              <w:rPr>
                <w:rFonts w:hint="eastAsia" w:hAnsi="宋体"/>
                <w:color w:val="auto"/>
                <w:sz w:val="24"/>
                <w:szCs w:val="24"/>
                <w:highlight w:val="none"/>
              </w:rPr>
              <w:t>供应商的资格</w:t>
            </w:r>
          </w:p>
        </w:tc>
        <w:tc>
          <w:tcPr>
            <w:tcW w:w="4199" w:type="dxa"/>
            <w:noWrap w:val="0"/>
            <w:vAlign w:val="center"/>
          </w:tcPr>
          <w:p>
            <w:pPr>
              <w:spacing w:line="360" w:lineRule="auto"/>
              <w:jc w:val="center"/>
              <w:rPr>
                <w:rFonts w:hAnsi="宋体"/>
                <w:color w:val="auto"/>
                <w:sz w:val="24"/>
                <w:szCs w:val="24"/>
                <w:highlight w:val="none"/>
              </w:rPr>
            </w:pPr>
            <w:r>
              <w:rPr>
                <w:rFonts w:hint="eastAsia" w:hAnsi="宋体"/>
                <w:color w:val="auto"/>
                <w:sz w:val="24"/>
                <w:szCs w:val="24"/>
                <w:highlight w:val="none"/>
              </w:rPr>
              <w:t>是否符合磋商</w:t>
            </w:r>
            <w:r>
              <w:rPr>
                <w:rFonts w:hint="eastAsia" w:hAnsi="宋体"/>
                <w:color w:val="auto"/>
                <w:sz w:val="24"/>
                <w:szCs w:val="24"/>
                <w:highlight w:val="none"/>
                <w:lang w:val="en-US" w:eastAsia="zh-CN"/>
              </w:rPr>
              <w:t>文件</w:t>
            </w:r>
            <w:r>
              <w:rPr>
                <w:rFonts w:hint="eastAsia" w:hAnsi="宋体"/>
                <w:color w:val="auto"/>
                <w:sz w:val="24"/>
                <w:szCs w:val="24"/>
                <w:highlight w:val="none"/>
              </w:rPr>
              <w:t>中供应商的资格要求</w:t>
            </w:r>
          </w:p>
        </w:tc>
        <w:tc>
          <w:tcPr>
            <w:tcW w:w="576" w:type="dxa"/>
            <w:noWrap w:val="0"/>
            <w:vAlign w:val="center"/>
          </w:tcPr>
          <w:p>
            <w:pPr>
              <w:spacing w:line="360" w:lineRule="auto"/>
              <w:jc w:val="center"/>
              <w:rPr>
                <w:rFonts w:hAnsi="宋体"/>
                <w:color w:val="auto"/>
                <w:sz w:val="24"/>
                <w:szCs w:val="24"/>
                <w:highlight w:val="none"/>
              </w:rPr>
            </w:pPr>
          </w:p>
        </w:tc>
        <w:tc>
          <w:tcPr>
            <w:tcW w:w="747" w:type="dxa"/>
            <w:noWrap w:val="0"/>
            <w:vAlign w:val="center"/>
          </w:tcPr>
          <w:p>
            <w:pPr>
              <w:spacing w:line="360" w:lineRule="auto"/>
              <w:jc w:val="center"/>
              <w:rPr>
                <w:rFonts w:hAnsi="宋体"/>
                <w:color w:val="auto"/>
                <w:sz w:val="24"/>
                <w:szCs w:val="24"/>
                <w:highlight w:val="none"/>
              </w:rPr>
            </w:pPr>
          </w:p>
        </w:tc>
        <w:tc>
          <w:tcPr>
            <w:tcW w:w="748" w:type="dxa"/>
            <w:noWrap w:val="0"/>
            <w:vAlign w:val="center"/>
          </w:tcPr>
          <w:p>
            <w:pPr>
              <w:spacing w:line="360" w:lineRule="auto"/>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0" w:type="dxa"/>
            <w:noWrap w:val="0"/>
            <w:vAlign w:val="center"/>
          </w:tcPr>
          <w:p>
            <w:pPr>
              <w:spacing w:line="360" w:lineRule="auto"/>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2</w:t>
            </w:r>
          </w:p>
        </w:tc>
        <w:tc>
          <w:tcPr>
            <w:tcW w:w="1868" w:type="dxa"/>
            <w:noWrap w:val="0"/>
            <w:vAlign w:val="center"/>
          </w:tcPr>
          <w:p>
            <w:pPr>
              <w:spacing w:line="360" w:lineRule="auto"/>
              <w:jc w:val="center"/>
              <w:rPr>
                <w:rFonts w:hAnsi="宋体"/>
                <w:color w:val="auto"/>
                <w:sz w:val="24"/>
                <w:szCs w:val="24"/>
                <w:highlight w:val="none"/>
              </w:rPr>
            </w:pPr>
            <w:r>
              <w:rPr>
                <w:rFonts w:hint="eastAsia" w:hAnsi="宋体"/>
                <w:color w:val="auto"/>
                <w:sz w:val="24"/>
                <w:szCs w:val="24"/>
                <w:highlight w:val="none"/>
              </w:rPr>
              <w:t>投标有效期</w:t>
            </w:r>
          </w:p>
        </w:tc>
        <w:tc>
          <w:tcPr>
            <w:tcW w:w="4199" w:type="dxa"/>
            <w:noWrap w:val="0"/>
            <w:vAlign w:val="center"/>
          </w:tcPr>
          <w:p>
            <w:pPr>
              <w:spacing w:line="360" w:lineRule="auto"/>
              <w:jc w:val="center"/>
              <w:rPr>
                <w:rFonts w:hAnsi="宋体"/>
                <w:color w:val="auto"/>
                <w:sz w:val="24"/>
                <w:szCs w:val="24"/>
                <w:highlight w:val="none"/>
              </w:rPr>
            </w:pPr>
            <w:r>
              <w:rPr>
                <w:rFonts w:hint="eastAsia" w:hAnsi="宋体"/>
                <w:color w:val="auto"/>
                <w:sz w:val="24"/>
                <w:szCs w:val="24"/>
                <w:highlight w:val="none"/>
              </w:rPr>
              <w:t>是否满足磋商文件要求</w:t>
            </w:r>
          </w:p>
        </w:tc>
        <w:tc>
          <w:tcPr>
            <w:tcW w:w="576" w:type="dxa"/>
            <w:noWrap w:val="0"/>
            <w:vAlign w:val="center"/>
          </w:tcPr>
          <w:p>
            <w:pPr>
              <w:spacing w:line="360" w:lineRule="auto"/>
              <w:jc w:val="center"/>
              <w:rPr>
                <w:rFonts w:hAnsi="宋体"/>
                <w:color w:val="auto"/>
                <w:sz w:val="24"/>
                <w:szCs w:val="24"/>
                <w:highlight w:val="none"/>
              </w:rPr>
            </w:pPr>
          </w:p>
        </w:tc>
        <w:tc>
          <w:tcPr>
            <w:tcW w:w="747" w:type="dxa"/>
            <w:noWrap w:val="0"/>
            <w:vAlign w:val="center"/>
          </w:tcPr>
          <w:p>
            <w:pPr>
              <w:spacing w:line="360" w:lineRule="auto"/>
              <w:jc w:val="center"/>
              <w:rPr>
                <w:rFonts w:hAnsi="宋体"/>
                <w:color w:val="auto"/>
                <w:sz w:val="24"/>
                <w:szCs w:val="24"/>
                <w:highlight w:val="none"/>
              </w:rPr>
            </w:pPr>
          </w:p>
        </w:tc>
        <w:tc>
          <w:tcPr>
            <w:tcW w:w="748" w:type="dxa"/>
            <w:noWrap w:val="0"/>
            <w:vAlign w:val="center"/>
          </w:tcPr>
          <w:p>
            <w:pPr>
              <w:spacing w:line="360" w:lineRule="auto"/>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40" w:type="dxa"/>
            <w:noWrap w:val="0"/>
            <w:vAlign w:val="center"/>
          </w:tcPr>
          <w:p>
            <w:pPr>
              <w:spacing w:line="360" w:lineRule="auto"/>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3</w:t>
            </w:r>
          </w:p>
        </w:tc>
        <w:tc>
          <w:tcPr>
            <w:tcW w:w="1868" w:type="dxa"/>
            <w:noWrap w:val="0"/>
            <w:vAlign w:val="center"/>
          </w:tcPr>
          <w:p>
            <w:pPr>
              <w:spacing w:line="360" w:lineRule="auto"/>
              <w:jc w:val="center"/>
              <w:rPr>
                <w:rFonts w:hAnsi="宋体"/>
                <w:color w:val="auto"/>
                <w:sz w:val="24"/>
                <w:szCs w:val="24"/>
                <w:highlight w:val="none"/>
              </w:rPr>
            </w:pPr>
            <w:r>
              <w:rPr>
                <w:rFonts w:hint="eastAsia" w:hAnsi="宋体"/>
                <w:color w:val="auto"/>
                <w:sz w:val="24"/>
                <w:szCs w:val="24"/>
                <w:highlight w:val="none"/>
                <w:lang w:val="en-US" w:eastAsia="zh-CN"/>
              </w:rPr>
              <w:t>合同履行期限（服务期）</w:t>
            </w:r>
          </w:p>
        </w:tc>
        <w:tc>
          <w:tcPr>
            <w:tcW w:w="4199" w:type="dxa"/>
            <w:noWrap w:val="0"/>
            <w:vAlign w:val="center"/>
          </w:tcPr>
          <w:p>
            <w:pPr>
              <w:ind w:left="480" w:leftChars="0" w:hanging="480" w:hangingChars="200"/>
              <w:jc w:val="center"/>
              <w:rPr>
                <w:rFonts w:hAnsi="宋体"/>
                <w:color w:val="auto"/>
                <w:sz w:val="24"/>
                <w:szCs w:val="24"/>
                <w:highlight w:val="none"/>
              </w:rPr>
            </w:pPr>
            <w:r>
              <w:rPr>
                <w:rFonts w:hint="eastAsia" w:hAnsi="宋体"/>
                <w:color w:val="auto"/>
                <w:sz w:val="24"/>
                <w:szCs w:val="24"/>
                <w:highlight w:val="none"/>
              </w:rPr>
              <w:t>是否符合磋商文件要求</w:t>
            </w:r>
          </w:p>
        </w:tc>
        <w:tc>
          <w:tcPr>
            <w:tcW w:w="576" w:type="dxa"/>
            <w:noWrap w:val="0"/>
            <w:vAlign w:val="center"/>
          </w:tcPr>
          <w:p>
            <w:pPr>
              <w:spacing w:line="360" w:lineRule="auto"/>
              <w:jc w:val="center"/>
              <w:rPr>
                <w:rFonts w:hAnsi="宋体"/>
                <w:color w:val="auto"/>
                <w:sz w:val="24"/>
                <w:szCs w:val="24"/>
                <w:highlight w:val="none"/>
              </w:rPr>
            </w:pPr>
          </w:p>
        </w:tc>
        <w:tc>
          <w:tcPr>
            <w:tcW w:w="747" w:type="dxa"/>
            <w:noWrap w:val="0"/>
            <w:vAlign w:val="center"/>
          </w:tcPr>
          <w:p>
            <w:pPr>
              <w:spacing w:line="360" w:lineRule="auto"/>
              <w:jc w:val="center"/>
              <w:rPr>
                <w:rFonts w:hAnsi="宋体"/>
                <w:color w:val="auto"/>
                <w:sz w:val="24"/>
                <w:szCs w:val="24"/>
                <w:highlight w:val="none"/>
              </w:rPr>
            </w:pPr>
          </w:p>
        </w:tc>
        <w:tc>
          <w:tcPr>
            <w:tcW w:w="748" w:type="dxa"/>
            <w:noWrap w:val="0"/>
            <w:vAlign w:val="center"/>
          </w:tcPr>
          <w:p>
            <w:pPr>
              <w:spacing w:line="360" w:lineRule="auto"/>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40" w:type="dxa"/>
            <w:noWrap w:val="0"/>
            <w:vAlign w:val="center"/>
          </w:tcPr>
          <w:p>
            <w:pPr>
              <w:spacing w:line="360" w:lineRule="auto"/>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4</w:t>
            </w:r>
          </w:p>
        </w:tc>
        <w:tc>
          <w:tcPr>
            <w:tcW w:w="1868" w:type="dxa"/>
            <w:noWrap w:val="0"/>
            <w:vAlign w:val="center"/>
          </w:tcPr>
          <w:p>
            <w:pPr>
              <w:spacing w:line="360" w:lineRule="auto"/>
              <w:jc w:val="center"/>
              <w:rPr>
                <w:rFonts w:hAnsi="宋体"/>
                <w:color w:val="auto"/>
                <w:sz w:val="24"/>
                <w:szCs w:val="24"/>
                <w:highlight w:val="none"/>
              </w:rPr>
            </w:pPr>
            <w:r>
              <w:rPr>
                <w:rFonts w:hint="eastAsia" w:hAnsi="宋体"/>
                <w:color w:val="auto"/>
                <w:sz w:val="24"/>
                <w:szCs w:val="24"/>
                <w:highlight w:val="none"/>
              </w:rPr>
              <w:t>其它</w:t>
            </w:r>
          </w:p>
        </w:tc>
        <w:tc>
          <w:tcPr>
            <w:tcW w:w="4199" w:type="dxa"/>
            <w:noWrap w:val="0"/>
            <w:vAlign w:val="center"/>
          </w:tcPr>
          <w:p>
            <w:pPr>
              <w:spacing w:line="360" w:lineRule="auto"/>
              <w:jc w:val="center"/>
              <w:rPr>
                <w:rFonts w:hAnsi="宋体"/>
                <w:color w:val="auto"/>
                <w:sz w:val="24"/>
                <w:szCs w:val="24"/>
                <w:highlight w:val="none"/>
              </w:rPr>
            </w:pPr>
            <w:r>
              <w:rPr>
                <w:rFonts w:hint="eastAsia" w:hAnsi="宋体"/>
                <w:color w:val="auto"/>
                <w:sz w:val="24"/>
                <w:szCs w:val="24"/>
                <w:highlight w:val="none"/>
              </w:rPr>
              <w:t>无其他无效投标认定条件</w:t>
            </w:r>
          </w:p>
        </w:tc>
        <w:tc>
          <w:tcPr>
            <w:tcW w:w="576" w:type="dxa"/>
            <w:noWrap w:val="0"/>
            <w:vAlign w:val="center"/>
          </w:tcPr>
          <w:p>
            <w:pPr>
              <w:spacing w:line="360" w:lineRule="auto"/>
              <w:jc w:val="center"/>
              <w:rPr>
                <w:rFonts w:hAnsi="宋体"/>
                <w:color w:val="auto"/>
                <w:sz w:val="24"/>
                <w:szCs w:val="24"/>
                <w:highlight w:val="none"/>
              </w:rPr>
            </w:pPr>
          </w:p>
        </w:tc>
        <w:tc>
          <w:tcPr>
            <w:tcW w:w="747" w:type="dxa"/>
            <w:noWrap w:val="0"/>
            <w:vAlign w:val="center"/>
          </w:tcPr>
          <w:p>
            <w:pPr>
              <w:spacing w:line="360" w:lineRule="auto"/>
              <w:jc w:val="center"/>
              <w:rPr>
                <w:rFonts w:hAnsi="宋体"/>
                <w:color w:val="auto"/>
                <w:sz w:val="24"/>
                <w:szCs w:val="24"/>
                <w:highlight w:val="none"/>
              </w:rPr>
            </w:pPr>
          </w:p>
        </w:tc>
        <w:tc>
          <w:tcPr>
            <w:tcW w:w="748" w:type="dxa"/>
            <w:noWrap w:val="0"/>
            <w:vAlign w:val="center"/>
          </w:tcPr>
          <w:p>
            <w:pPr>
              <w:spacing w:line="360" w:lineRule="auto"/>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07" w:type="dxa"/>
            <w:gridSpan w:val="3"/>
            <w:noWrap w:val="0"/>
            <w:vAlign w:val="center"/>
          </w:tcPr>
          <w:p>
            <w:pPr>
              <w:spacing w:line="360" w:lineRule="auto"/>
              <w:jc w:val="center"/>
              <w:rPr>
                <w:rFonts w:hAnsi="宋体"/>
                <w:color w:val="auto"/>
                <w:sz w:val="24"/>
                <w:szCs w:val="24"/>
                <w:highlight w:val="none"/>
              </w:rPr>
            </w:pPr>
            <w:r>
              <w:rPr>
                <w:rFonts w:hint="eastAsia" w:hAnsi="宋体"/>
                <w:color w:val="auto"/>
                <w:sz w:val="24"/>
                <w:szCs w:val="24"/>
                <w:highlight w:val="none"/>
              </w:rPr>
              <w:t>结论</w:t>
            </w:r>
          </w:p>
        </w:tc>
        <w:tc>
          <w:tcPr>
            <w:tcW w:w="576" w:type="dxa"/>
            <w:noWrap w:val="0"/>
            <w:vAlign w:val="center"/>
          </w:tcPr>
          <w:p>
            <w:pPr>
              <w:spacing w:line="360" w:lineRule="auto"/>
              <w:jc w:val="center"/>
              <w:rPr>
                <w:rFonts w:hAnsi="宋体"/>
                <w:color w:val="auto"/>
                <w:sz w:val="24"/>
                <w:szCs w:val="24"/>
                <w:highlight w:val="none"/>
              </w:rPr>
            </w:pPr>
          </w:p>
        </w:tc>
        <w:tc>
          <w:tcPr>
            <w:tcW w:w="747" w:type="dxa"/>
            <w:noWrap w:val="0"/>
            <w:vAlign w:val="center"/>
          </w:tcPr>
          <w:p>
            <w:pPr>
              <w:spacing w:line="360" w:lineRule="auto"/>
              <w:jc w:val="center"/>
              <w:rPr>
                <w:rFonts w:hAnsi="宋体"/>
                <w:color w:val="auto"/>
                <w:sz w:val="24"/>
                <w:szCs w:val="24"/>
                <w:highlight w:val="none"/>
              </w:rPr>
            </w:pPr>
          </w:p>
        </w:tc>
        <w:tc>
          <w:tcPr>
            <w:tcW w:w="748" w:type="dxa"/>
            <w:noWrap w:val="0"/>
            <w:vAlign w:val="center"/>
          </w:tcPr>
          <w:p>
            <w:pPr>
              <w:spacing w:line="360" w:lineRule="auto"/>
              <w:jc w:val="center"/>
              <w:rPr>
                <w:rFonts w:hAnsi="宋体"/>
                <w:color w:val="auto"/>
                <w:sz w:val="24"/>
                <w:szCs w:val="24"/>
                <w:highlight w:val="none"/>
              </w:rPr>
            </w:pPr>
          </w:p>
        </w:tc>
      </w:tr>
    </w:tbl>
    <w:p>
      <w:pPr>
        <w:spacing w:line="360" w:lineRule="auto"/>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、在表中的各项只需填写“√</w:t>
      </w:r>
      <w:r>
        <w:rPr>
          <w:rFonts w:hAnsi="宋体"/>
          <w:color w:val="auto"/>
          <w:sz w:val="24"/>
          <w:szCs w:val="24"/>
          <w:highlight w:val="none"/>
        </w:rPr>
        <w:t>/</w:t>
      </w:r>
      <w:r>
        <w:rPr>
          <w:rFonts w:hint="eastAsia" w:hAnsi="宋体"/>
          <w:color w:val="auto"/>
          <w:sz w:val="24"/>
          <w:szCs w:val="24"/>
          <w:highlight w:val="none"/>
        </w:rPr>
        <w:t>通过”或“×</w:t>
      </w:r>
      <w:r>
        <w:rPr>
          <w:rFonts w:hAnsi="宋体"/>
          <w:color w:val="auto"/>
          <w:sz w:val="24"/>
          <w:szCs w:val="24"/>
          <w:highlight w:val="none"/>
        </w:rPr>
        <w:t>/</w:t>
      </w:r>
      <w:r>
        <w:rPr>
          <w:rFonts w:hint="eastAsia" w:hAnsi="宋体"/>
          <w:color w:val="auto"/>
          <w:sz w:val="24"/>
          <w:szCs w:val="24"/>
          <w:highlight w:val="none"/>
        </w:rPr>
        <w:t>不通过”。</w:t>
      </w:r>
    </w:p>
    <w:p>
      <w:pPr>
        <w:spacing w:line="360" w:lineRule="auto"/>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、在结论中按“一项否决”的原则，只有全部是√</w:t>
      </w:r>
      <w:r>
        <w:rPr>
          <w:rFonts w:hAnsi="宋体"/>
          <w:color w:val="auto"/>
          <w:sz w:val="24"/>
          <w:szCs w:val="24"/>
          <w:highlight w:val="none"/>
        </w:rPr>
        <w:t>/</w:t>
      </w:r>
      <w:r>
        <w:rPr>
          <w:rFonts w:hint="eastAsia" w:hAnsi="宋体"/>
          <w:color w:val="auto"/>
          <w:sz w:val="24"/>
          <w:szCs w:val="24"/>
          <w:highlight w:val="none"/>
        </w:rPr>
        <w:t>通过的，填写：“合格”；只要其中有一项×</w:t>
      </w:r>
      <w:r>
        <w:rPr>
          <w:rFonts w:hAnsi="宋体"/>
          <w:color w:val="auto"/>
          <w:sz w:val="24"/>
          <w:szCs w:val="24"/>
          <w:highlight w:val="none"/>
        </w:rPr>
        <w:t>/</w:t>
      </w:r>
      <w:r>
        <w:rPr>
          <w:rFonts w:hint="eastAsia" w:hAnsi="宋体"/>
          <w:color w:val="auto"/>
          <w:sz w:val="24"/>
          <w:szCs w:val="24"/>
          <w:highlight w:val="none"/>
        </w:rPr>
        <w:t>不通过的，填写“不合格”。</w:t>
      </w:r>
    </w:p>
    <w:p>
      <w:pPr>
        <w:spacing w:line="360" w:lineRule="auto"/>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、结论是合格的，才能进入下一轮；不合格的被淘汰。</w:t>
      </w:r>
    </w:p>
    <w:p>
      <w:pPr>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、符合初审要求的投标人至少达到三家或以上，才能进入磋商程序。</w:t>
      </w:r>
    </w:p>
    <w:p>
      <w:pPr>
        <w:pStyle w:val="4"/>
        <w:spacing w:before="0" w:after="0" w:line="700" w:lineRule="exact"/>
        <w:outlineLvl w:val="9"/>
        <w:rPr>
          <w:rFonts w:ascii="宋体" w:hAnsi="宋体" w:eastAsia="宋体"/>
          <w:b w:val="0"/>
          <w:bCs/>
          <w:color w:val="auto"/>
          <w:sz w:val="24"/>
          <w:szCs w:val="24"/>
          <w:highlight w:val="none"/>
        </w:rPr>
      </w:pPr>
      <w:bookmarkStart w:id="117" w:name="_GoBack"/>
      <w:bookmarkEnd w:id="117"/>
    </w:p>
    <w:p>
      <w:pPr>
        <w:rPr>
          <w:rFonts w:hint="eastAsia"/>
          <w:color w:val="auto"/>
          <w:sz w:val="24"/>
          <w:szCs w:val="24"/>
          <w:highlight w:val="none"/>
        </w:rPr>
      </w:pPr>
    </w:p>
    <w:p>
      <w:pPr>
        <w:rPr>
          <w:rFonts w:hint="eastAsia"/>
          <w:color w:val="auto"/>
          <w:sz w:val="24"/>
          <w:szCs w:val="24"/>
          <w:highlight w:val="none"/>
        </w:rPr>
      </w:pPr>
    </w:p>
    <w:p>
      <w:pPr>
        <w:rPr>
          <w:color w:val="auto"/>
          <w:sz w:val="24"/>
          <w:szCs w:val="24"/>
          <w:highlight w:val="none"/>
        </w:rPr>
      </w:pPr>
    </w:p>
    <w:p>
      <w:pPr>
        <w:widowControl/>
        <w:jc w:val="left"/>
        <w:rPr>
          <w:rFonts w:hAnsi="宋体"/>
          <w:color w:val="auto"/>
          <w:sz w:val="24"/>
          <w:szCs w:val="24"/>
          <w:highlight w:val="none"/>
        </w:rPr>
      </w:pPr>
    </w:p>
    <w:p>
      <w:pPr>
        <w:numPr>
          <w:ilvl w:val="0"/>
          <w:numId w:val="11"/>
        </w:numPr>
        <w:spacing w:line="360" w:lineRule="auto"/>
        <w:rPr>
          <w:rFonts w:hint="eastAsia" w:hAnsi="宋体"/>
          <w:b/>
          <w:color w:val="auto"/>
          <w:kern w:val="2"/>
          <w:sz w:val="24"/>
          <w:szCs w:val="24"/>
          <w:highlight w:val="none"/>
        </w:rPr>
      </w:pPr>
      <w:r>
        <w:rPr>
          <w:rFonts w:hAnsi="宋体"/>
          <w:b/>
          <w:color w:val="auto"/>
          <w:kern w:val="2"/>
          <w:sz w:val="24"/>
          <w:szCs w:val="24"/>
          <w:highlight w:val="none"/>
        </w:rPr>
        <w:br w:type="page"/>
      </w:r>
      <w:r>
        <w:rPr>
          <w:rFonts w:hint="eastAsia" w:hAnsi="宋体"/>
          <w:b/>
          <w:color w:val="auto"/>
          <w:kern w:val="2"/>
          <w:sz w:val="24"/>
          <w:szCs w:val="24"/>
          <w:highlight w:val="none"/>
        </w:rPr>
        <w:t>评审细则</w:t>
      </w:r>
    </w:p>
    <w:p>
      <w:pPr>
        <w:numPr>
          <w:ilvl w:val="0"/>
          <w:numId w:val="0"/>
        </w:numPr>
        <w:spacing w:line="360" w:lineRule="auto"/>
        <w:jc w:val="center"/>
        <w:rPr>
          <w:rFonts w:hAnsi="宋体"/>
          <w:b/>
          <w:color w:val="auto"/>
          <w:kern w:val="2"/>
          <w:sz w:val="24"/>
          <w:szCs w:val="24"/>
          <w:highlight w:val="none"/>
        </w:rPr>
      </w:pPr>
      <w:r>
        <w:rPr>
          <w:rFonts w:hint="eastAsia"/>
          <w:b/>
          <w:bCs/>
          <w:color w:val="auto"/>
          <w:sz w:val="24"/>
          <w:szCs w:val="24"/>
          <w:lang w:val="en-US" w:eastAsia="zh-CN"/>
        </w:rPr>
        <w:t>评审打分表（A包）</w:t>
      </w:r>
    </w:p>
    <w:p>
      <w:pPr>
        <w:spacing w:line="360" w:lineRule="auto"/>
        <w:rPr>
          <w:rFonts w:hint="eastAsia" w:ascii="宋体" w:hAnsi="宋体" w:eastAsia="宋体" w:cs="Times New Roman"/>
          <w:color w:val="auto"/>
          <w:sz w:val="24"/>
          <w:szCs w:val="24"/>
          <w:highlight w:val="none"/>
          <w:lang w:val="en-US" w:eastAsia="zh-CN"/>
        </w:rPr>
      </w:pPr>
    </w:p>
    <w:tbl>
      <w:tblPr>
        <w:tblStyle w:val="17"/>
        <w:tblpPr w:leftFromText="180" w:rightFromText="180" w:vertAnchor="page" w:horzAnchor="page" w:tblpX="1345" w:tblpY="2481"/>
        <w:tblOverlap w:val="never"/>
        <w:tblW w:w="53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229"/>
        <w:gridCol w:w="927"/>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blHeader/>
        </w:trPr>
        <w:tc>
          <w:tcPr>
            <w:tcW w:w="342" w:type="pct"/>
            <w:noWrap w:val="0"/>
            <w:vAlign w:val="center"/>
          </w:tcPr>
          <w:p>
            <w:pPr>
              <w:pStyle w:val="28"/>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序号</w:t>
            </w:r>
          </w:p>
        </w:tc>
        <w:tc>
          <w:tcPr>
            <w:tcW w:w="655" w:type="pct"/>
            <w:noWrap w:val="0"/>
            <w:vAlign w:val="center"/>
          </w:tcPr>
          <w:p>
            <w:pPr>
              <w:pStyle w:val="28"/>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评审分项</w:t>
            </w:r>
          </w:p>
        </w:tc>
        <w:tc>
          <w:tcPr>
            <w:tcW w:w="495" w:type="pct"/>
            <w:noWrap w:val="0"/>
            <w:vAlign w:val="center"/>
          </w:tcPr>
          <w:p>
            <w:pPr>
              <w:pStyle w:val="28"/>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满分</w:t>
            </w:r>
          </w:p>
        </w:tc>
        <w:tc>
          <w:tcPr>
            <w:tcW w:w="3506" w:type="pct"/>
            <w:noWrap w:val="0"/>
            <w:vAlign w:val="center"/>
          </w:tcPr>
          <w:p>
            <w:pPr>
              <w:pStyle w:val="28"/>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42"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655"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类似业绩</w:t>
            </w:r>
          </w:p>
        </w:tc>
        <w:tc>
          <w:tcPr>
            <w:tcW w:w="495" w:type="pct"/>
            <w:noWrap w:val="0"/>
            <w:vAlign w:val="center"/>
          </w:tcPr>
          <w:p>
            <w:pPr>
              <w:pStyle w:val="29"/>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15</w:t>
            </w:r>
          </w:p>
        </w:tc>
        <w:tc>
          <w:tcPr>
            <w:tcW w:w="3506" w:type="pct"/>
            <w:noWrap w:val="0"/>
            <w:vAlign w:val="center"/>
          </w:tcPr>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年1月1日至今承接过类似业绩的</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每</w:t>
            </w:r>
            <w:r>
              <w:rPr>
                <w:rFonts w:hint="eastAsia" w:asciiTheme="minorEastAsia" w:hAnsiTheme="minorEastAsia" w:eastAsiaTheme="minorEastAsia" w:cstheme="minorEastAsia"/>
                <w:color w:val="auto"/>
                <w:sz w:val="21"/>
                <w:szCs w:val="21"/>
              </w:rPr>
              <w:t>提供一份业绩得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分；本项满分</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证明材料∶同一项目业绩不重复计分，提供合同协议书（包括合同首页、内容页、金额页、签字盖章页）复印件加盖公章，时间以合同签订时间为准，不提供不得分。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342"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655"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项目实施服务方案</w:t>
            </w:r>
          </w:p>
        </w:tc>
        <w:tc>
          <w:tcPr>
            <w:tcW w:w="495" w:type="pct"/>
            <w:noWrap w:val="0"/>
            <w:vAlign w:val="center"/>
          </w:tcPr>
          <w:p>
            <w:pPr>
              <w:pStyle w:val="29"/>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c>
          <w:tcPr>
            <w:tcW w:w="3506" w:type="pct"/>
            <w:noWrap w:val="0"/>
            <w:vAlign w:val="center"/>
          </w:tcPr>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磋商小组根据各供应商提供的服务方案中关于考试命题（笔试和面试）、保密印刷、试卷押运等方面进行评审：</w:t>
            </w:r>
          </w:p>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（1）供应商提供的服务方案，服务内容覆盖全面，方案内容完整、考虑周全、描述翔实具体、针对性强，完全满足项目需求，得40分；</w:t>
            </w:r>
          </w:p>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（2）供应商提供的服务方案，服务内容覆盖不全面，方案内容略有瑕疵，但可以满足项目需求，得30分；</w:t>
            </w:r>
          </w:p>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（3）供应商提供的服务方案有明显漏洞，内容不完整，针对性差，得20分；</w:t>
            </w:r>
          </w:p>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（4）供应商提供的服务方案没有针对性，无法起到有效的服务工作，得10分。</w:t>
            </w:r>
          </w:p>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注：未提交方案的，本项不得分。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342"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655"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项目服务管理制度</w:t>
            </w:r>
          </w:p>
        </w:tc>
        <w:tc>
          <w:tcPr>
            <w:tcW w:w="495"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w:t>
            </w:r>
          </w:p>
        </w:tc>
        <w:tc>
          <w:tcPr>
            <w:tcW w:w="3506" w:type="pct"/>
            <w:noWrap w:val="0"/>
            <w:vAlign w:val="center"/>
          </w:tcPr>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磋商小组根据各供应商提供的项目服务管理制度，包括项目管理制度、保密制度、应急响应制度等进行评审：</w:t>
            </w:r>
          </w:p>
          <w:p>
            <w:pPr>
              <w:pStyle w:val="29"/>
              <w:ind w:firstLine="420" w:firstLineChars="200"/>
              <w:rPr>
                <w:rFonts w:hint="eastAsia" w:asciiTheme="minorEastAsia" w:hAnsiTheme="minorEastAsia" w:eastAsiaTheme="minorEastAsia" w:cstheme="minorEastAsia"/>
                <w:color w:val="auto"/>
                <w:kern w:val="2"/>
                <w:sz w:val="21"/>
                <w:szCs w:val="21"/>
                <w:lang w:val="zh-TW" w:eastAsia="zh-TW" w:bidi="ar-SA"/>
              </w:rPr>
            </w:pPr>
            <w:r>
              <w:rPr>
                <w:rFonts w:hint="eastAsia" w:asciiTheme="minorEastAsia" w:hAnsiTheme="minorEastAsia" w:eastAsiaTheme="minorEastAsia" w:cstheme="minorEastAsia"/>
                <w:color w:val="auto"/>
                <w:kern w:val="2"/>
                <w:sz w:val="21"/>
                <w:szCs w:val="21"/>
                <w:lang w:val="en-US" w:eastAsia="zh-CN" w:bidi="ar-SA"/>
              </w:rPr>
              <w:t>（1）制度规范符合相关规定，</w:t>
            </w:r>
            <w:r>
              <w:rPr>
                <w:rFonts w:hint="eastAsia" w:asciiTheme="minorEastAsia" w:hAnsiTheme="minorEastAsia" w:eastAsiaTheme="minorEastAsia" w:cstheme="minorEastAsia"/>
                <w:color w:val="auto"/>
                <w:kern w:val="2"/>
                <w:sz w:val="21"/>
                <w:szCs w:val="21"/>
                <w:lang w:val="zh-TW" w:eastAsia="zh-CN" w:bidi="ar-SA"/>
              </w:rPr>
              <w:t>实施安全管理过程务实且可操作性强，各项指标功能均能完成，</w:t>
            </w:r>
            <w:r>
              <w:rPr>
                <w:rFonts w:hint="eastAsia" w:asciiTheme="minorEastAsia" w:hAnsiTheme="minorEastAsia" w:eastAsiaTheme="minorEastAsia" w:cstheme="minorEastAsia"/>
                <w:color w:val="auto"/>
                <w:kern w:val="2"/>
                <w:sz w:val="21"/>
                <w:szCs w:val="21"/>
                <w:lang w:val="en-US" w:eastAsia="zh-CN" w:bidi="ar-SA"/>
              </w:rPr>
              <w:t>同时详细、合理，</w:t>
            </w:r>
            <w:r>
              <w:rPr>
                <w:rFonts w:hint="eastAsia" w:asciiTheme="minorEastAsia" w:hAnsiTheme="minorEastAsia" w:eastAsiaTheme="minorEastAsia" w:cstheme="minorEastAsia"/>
                <w:color w:val="auto"/>
                <w:sz w:val="21"/>
                <w:szCs w:val="21"/>
                <w:lang w:val="en-US" w:eastAsia="zh-CN"/>
              </w:rPr>
              <w:t>完全满足项目需求，得35分；</w:t>
            </w:r>
            <w:r>
              <w:rPr>
                <w:rFonts w:hint="eastAsia" w:asciiTheme="minorEastAsia" w:hAnsiTheme="minorEastAsia" w:eastAsiaTheme="minorEastAsia" w:cstheme="minorEastAsia"/>
                <w:color w:val="auto"/>
                <w:kern w:val="2"/>
                <w:sz w:val="21"/>
                <w:szCs w:val="21"/>
                <w:lang w:val="en-US" w:eastAsia="zh-CN" w:bidi="ar-SA"/>
              </w:rPr>
              <w:t xml:space="preserve"> </w:t>
            </w:r>
          </w:p>
          <w:p>
            <w:pPr>
              <w:spacing w:line="480" w:lineRule="exact"/>
              <w:ind w:firstLine="420" w:firstLineChars="200"/>
              <w:rPr>
                <w:rFonts w:hint="eastAsia" w:asciiTheme="minorEastAsia" w:hAnsiTheme="minorEastAsia" w:eastAsiaTheme="minorEastAsia" w:cstheme="minorEastAsia"/>
                <w:color w:val="auto"/>
                <w:kern w:val="2"/>
                <w:sz w:val="21"/>
                <w:szCs w:val="21"/>
                <w:lang w:val="zh-TW" w:eastAsia="zh-TW" w:bidi="ar-SA"/>
              </w:rPr>
            </w:pPr>
            <w:r>
              <w:rPr>
                <w:rFonts w:hint="eastAsia" w:asciiTheme="minorEastAsia" w:hAnsiTheme="minorEastAsia" w:eastAsiaTheme="minorEastAsia" w:cstheme="minorEastAsia"/>
                <w:color w:val="auto"/>
                <w:kern w:val="2"/>
                <w:sz w:val="21"/>
                <w:szCs w:val="21"/>
                <w:lang w:val="en-US" w:eastAsia="zh-CN" w:bidi="ar-SA"/>
              </w:rPr>
              <w:t>（2）制度规范，略有瑕疵，</w:t>
            </w:r>
            <w:r>
              <w:rPr>
                <w:rFonts w:hint="eastAsia" w:asciiTheme="minorEastAsia" w:hAnsiTheme="minorEastAsia" w:eastAsiaTheme="minorEastAsia" w:cstheme="minorEastAsia"/>
                <w:color w:val="auto"/>
                <w:sz w:val="21"/>
                <w:szCs w:val="21"/>
                <w:lang w:val="en-US" w:eastAsia="zh-CN"/>
              </w:rPr>
              <w:t>基本满足项目需求，得25分；</w:t>
            </w:r>
            <w:r>
              <w:rPr>
                <w:rFonts w:hint="eastAsia" w:asciiTheme="minorEastAsia" w:hAnsiTheme="minorEastAsia" w:eastAsiaTheme="minorEastAsia" w:cstheme="minorEastAsia"/>
                <w:color w:val="auto"/>
                <w:kern w:val="2"/>
                <w:sz w:val="21"/>
                <w:szCs w:val="21"/>
                <w:lang w:val="en-US" w:eastAsia="zh-CN" w:bidi="ar-SA"/>
              </w:rPr>
              <w:t xml:space="preserve"> </w:t>
            </w:r>
          </w:p>
          <w:p>
            <w:pPr>
              <w:pStyle w:val="29"/>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（3）制度有明显漏洞 ，内容不完整，</w:t>
            </w:r>
            <w:r>
              <w:rPr>
                <w:rFonts w:hint="eastAsia" w:asciiTheme="minorEastAsia" w:hAnsiTheme="minorEastAsia" w:eastAsiaTheme="minorEastAsia" w:cstheme="minorEastAsia"/>
                <w:color w:val="auto"/>
                <w:sz w:val="21"/>
                <w:szCs w:val="21"/>
                <w:lang w:val="en-US" w:eastAsia="zh-CN"/>
              </w:rPr>
              <w:t>针对性差，得15分。</w:t>
            </w:r>
          </w:p>
          <w:p>
            <w:pPr>
              <w:pStyle w:val="29"/>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（4）制度</w:t>
            </w:r>
            <w:r>
              <w:rPr>
                <w:rFonts w:hint="eastAsia" w:asciiTheme="minorEastAsia" w:hAnsiTheme="minorEastAsia" w:eastAsiaTheme="minorEastAsia" w:cstheme="minorEastAsia"/>
                <w:color w:val="auto"/>
                <w:sz w:val="21"/>
                <w:szCs w:val="21"/>
                <w:lang w:val="en-US" w:eastAsia="zh-CN"/>
              </w:rPr>
              <w:t>没有针对性，无法起到有效的服务工作，得5分。</w:t>
            </w:r>
          </w:p>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注：未提交方案的，本项不得分。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42"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655" w:type="pct"/>
            <w:noWrap w:val="0"/>
            <w:vAlign w:val="center"/>
          </w:tcPr>
          <w:p>
            <w:pPr>
              <w:pStyle w:val="29"/>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价</w:t>
            </w:r>
          </w:p>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得  分</w:t>
            </w:r>
          </w:p>
        </w:tc>
        <w:tc>
          <w:tcPr>
            <w:tcW w:w="495"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3506" w:type="pct"/>
            <w:noWrap w:val="0"/>
            <w:vAlign w:val="center"/>
          </w:tcPr>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综合评分法中的价格分统一采用低价优先法计算，即满足文件要求且最后报价最低的供应商的价格为基准价，其价格分为满分。其它供应商的价格分统一按照下列公式计算：报价得分=（基准价/</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报价）×</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98" w:type="pct"/>
            <w:gridSpan w:val="2"/>
            <w:noWrap w:val="0"/>
            <w:vAlign w:val="center"/>
          </w:tcPr>
          <w:p>
            <w:pPr>
              <w:pStyle w:val="29"/>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总分</w:t>
            </w:r>
          </w:p>
        </w:tc>
        <w:tc>
          <w:tcPr>
            <w:tcW w:w="495" w:type="pct"/>
            <w:noWrap w:val="0"/>
            <w:vAlign w:val="center"/>
          </w:tcPr>
          <w:p>
            <w:pPr>
              <w:pStyle w:val="29"/>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100分</w:t>
            </w:r>
          </w:p>
        </w:tc>
        <w:tc>
          <w:tcPr>
            <w:tcW w:w="3506" w:type="pct"/>
            <w:noWrap w:val="0"/>
            <w:vAlign w:val="center"/>
          </w:tcPr>
          <w:p>
            <w:pPr>
              <w:pStyle w:val="29"/>
              <w:jc w:val="center"/>
              <w:rPr>
                <w:rFonts w:hint="eastAsia" w:asciiTheme="minorEastAsia" w:hAnsiTheme="minorEastAsia" w:eastAsiaTheme="minorEastAsia" w:cstheme="minorEastAsia"/>
                <w:color w:val="auto"/>
                <w:sz w:val="21"/>
                <w:szCs w:val="21"/>
              </w:rPr>
            </w:pPr>
          </w:p>
        </w:tc>
      </w:tr>
    </w:tbl>
    <w:p>
      <w:pPr>
        <w:rPr>
          <w:rFonts w:hint="eastAsia"/>
          <w:b/>
          <w:bCs/>
          <w:color w:val="auto"/>
          <w:sz w:val="24"/>
          <w:szCs w:val="24"/>
          <w:lang w:val="en-US" w:eastAsia="zh-CN"/>
        </w:rPr>
      </w:pPr>
      <w:r>
        <w:rPr>
          <w:rFonts w:hint="eastAsia"/>
          <w:b/>
          <w:bCs/>
          <w:color w:val="auto"/>
          <w:sz w:val="24"/>
          <w:szCs w:val="24"/>
          <w:lang w:val="en-US" w:eastAsia="zh-CN"/>
        </w:rPr>
        <w:br w:type="page"/>
      </w:r>
    </w:p>
    <w:p>
      <w:pPr>
        <w:jc w:val="center"/>
        <w:rPr>
          <w:rFonts w:hint="eastAsia"/>
          <w:b/>
          <w:bCs/>
          <w:color w:val="auto"/>
          <w:sz w:val="24"/>
          <w:szCs w:val="24"/>
          <w:lang w:val="en-US" w:eastAsia="zh-CN"/>
        </w:rPr>
      </w:pPr>
      <w:r>
        <w:rPr>
          <w:rFonts w:hint="eastAsia"/>
          <w:b/>
          <w:bCs/>
          <w:color w:val="auto"/>
          <w:sz w:val="24"/>
          <w:szCs w:val="24"/>
          <w:lang w:val="en-US" w:eastAsia="zh-CN"/>
        </w:rPr>
        <w:t>评审打分表（B包）</w:t>
      </w:r>
    </w:p>
    <w:p>
      <w:pPr>
        <w:jc w:val="center"/>
        <w:rPr>
          <w:rFonts w:hint="eastAsia"/>
          <w:b/>
          <w:bCs/>
          <w:color w:val="auto"/>
          <w:sz w:val="24"/>
          <w:szCs w:val="24"/>
          <w:lang w:val="en-US" w:eastAsia="zh-CN"/>
        </w:rPr>
      </w:pPr>
    </w:p>
    <w:p>
      <w:pPr>
        <w:jc w:val="both"/>
        <w:rPr>
          <w:rFonts w:hint="eastAsia"/>
          <w:b/>
          <w:bCs/>
          <w:color w:val="auto"/>
          <w:sz w:val="24"/>
          <w:szCs w:val="24"/>
          <w:lang w:val="en-US" w:eastAsia="zh-CN"/>
        </w:rPr>
      </w:pPr>
    </w:p>
    <w:tbl>
      <w:tblPr>
        <w:tblStyle w:val="17"/>
        <w:tblpPr w:leftFromText="180" w:rightFromText="180" w:vertAnchor="page" w:horzAnchor="page" w:tblpX="1324" w:tblpY="2028"/>
        <w:tblOverlap w:val="never"/>
        <w:tblW w:w="55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261"/>
        <w:gridCol w:w="950"/>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342" w:type="pct"/>
            <w:noWrap w:val="0"/>
            <w:vAlign w:val="center"/>
          </w:tcPr>
          <w:p>
            <w:pPr>
              <w:pStyle w:val="28"/>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序号</w:t>
            </w:r>
          </w:p>
        </w:tc>
        <w:tc>
          <w:tcPr>
            <w:tcW w:w="655" w:type="pct"/>
            <w:noWrap w:val="0"/>
            <w:vAlign w:val="center"/>
          </w:tcPr>
          <w:p>
            <w:pPr>
              <w:pStyle w:val="28"/>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评审分项</w:t>
            </w:r>
          </w:p>
        </w:tc>
        <w:tc>
          <w:tcPr>
            <w:tcW w:w="494" w:type="pct"/>
            <w:noWrap w:val="0"/>
            <w:vAlign w:val="center"/>
          </w:tcPr>
          <w:p>
            <w:pPr>
              <w:pStyle w:val="28"/>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满分</w:t>
            </w:r>
          </w:p>
        </w:tc>
        <w:tc>
          <w:tcPr>
            <w:tcW w:w="3507" w:type="pct"/>
            <w:noWrap w:val="0"/>
            <w:vAlign w:val="center"/>
          </w:tcPr>
          <w:p>
            <w:pPr>
              <w:pStyle w:val="28"/>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42"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655"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类似业绩</w:t>
            </w:r>
          </w:p>
        </w:tc>
        <w:tc>
          <w:tcPr>
            <w:tcW w:w="494" w:type="pct"/>
            <w:noWrap w:val="0"/>
            <w:vAlign w:val="center"/>
          </w:tcPr>
          <w:p>
            <w:pPr>
              <w:pStyle w:val="29"/>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15</w:t>
            </w:r>
          </w:p>
        </w:tc>
        <w:tc>
          <w:tcPr>
            <w:tcW w:w="3507" w:type="pct"/>
            <w:noWrap w:val="0"/>
            <w:vAlign w:val="center"/>
          </w:tcPr>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年1月1日至今承接过类似业绩的</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每</w:t>
            </w:r>
            <w:r>
              <w:rPr>
                <w:rFonts w:hint="eastAsia" w:asciiTheme="minorEastAsia" w:hAnsiTheme="minorEastAsia" w:eastAsiaTheme="minorEastAsia" w:cstheme="minorEastAsia"/>
                <w:color w:val="auto"/>
                <w:sz w:val="21"/>
                <w:szCs w:val="21"/>
              </w:rPr>
              <w:t>提供一份业绩得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分；本项满分</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证明材料∶同一项目业绩不重复计分，提供合同协议书（包括合同首页、内容页、金额页、签字盖章页）复印件加盖公章，时间以合同签订时间为准，不提供不得分。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655"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项目实施服务方案</w:t>
            </w:r>
          </w:p>
        </w:tc>
        <w:tc>
          <w:tcPr>
            <w:tcW w:w="494" w:type="pct"/>
            <w:noWrap w:val="0"/>
            <w:vAlign w:val="center"/>
          </w:tcPr>
          <w:p>
            <w:pPr>
              <w:pStyle w:val="29"/>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c>
          <w:tcPr>
            <w:tcW w:w="3507" w:type="pct"/>
            <w:noWrap w:val="0"/>
            <w:vAlign w:val="center"/>
          </w:tcPr>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磋商小组根据各供应商提供的服务方案中关于考前服务、考场布置、考试组织（笔试和面试）、成绩公示等方面进行评审：</w:t>
            </w:r>
          </w:p>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（1）供应商提供的服务方案，服务内容覆盖全面，方案内容完整、考虑周全、描述翔实具体、针对性强，完全满足项目需求，得40分；</w:t>
            </w:r>
          </w:p>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（2）供应商提供的服务方案，服务内容覆盖不全面，方案内容略有瑕疵，但可以满足项目需求，得30分；</w:t>
            </w:r>
          </w:p>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（3）供应商提供的服务方案有明显漏洞，内容不完整，针对性差，得20分；</w:t>
            </w:r>
          </w:p>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（4）供应商提供的服务方案没有针对性，无法起到有效的服务工作，得10分。</w:t>
            </w:r>
          </w:p>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注：未提方案的，本项不得分。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342"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655"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项目服务管理制度</w:t>
            </w:r>
          </w:p>
        </w:tc>
        <w:tc>
          <w:tcPr>
            <w:tcW w:w="494"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w:t>
            </w:r>
          </w:p>
        </w:tc>
        <w:tc>
          <w:tcPr>
            <w:tcW w:w="3507" w:type="pct"/>
            <w:noWrap w:val="0"/>
            <w:vAlign w:val="center"/>
          </w:tcPr>
          <w:p>
            <w:pPr>
              <w:pStyle w:val="29"/>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磋商小组根据各供应商提供的项目服务管理制度，包括项目管理制度、保密制度、应急响应制度等进行评审：</w:t>
            </w:r>
          </w:p>
          <w:p>
            <w:pPr>
              <w:pStyle w:val="29"/>
              <w:ind w:firstLine="420" w:firstLineChars="200"/>
              <w:rPr>
                <w:rFonts w:hint="eastAsia" w:asciiTheme="minorEastAsia" w:hAnsiTheme="minorEastAsia" w:eastAsiaTheme="minorEastAsia" w:cstheme="minorEastAsia"/>
                <w:color w:val="auto"/>
                <w:kern w:val="2"/>
                <w:sz w:val="21"/>
                <w:szCs w:val="21"/>
                <w:lang w:val="zh-TW" w:eastAsia="zh-TW" w:bidi="ar-SA"/>
              </w:rPr>
            </w:pPr>
            <w:r>
              <w:rPr>
                <w:rFonts w:hint="eastAsia" w:asciiTheme="minorEastAsia" w:hAnsiTheme="minorEastAsia" w:eastAsiaTheme="minorEastAsia" w:cstheme="minorEastAsia"/>
                <w:color w:val="auto"/>
                <w:kern w:val="2"/>
                <w:sz w:val="21"/>
                <w:szCs w:val="21"/>
                <w:lang w:val="en-US" w:eastAsia="zh-CN" w:bidi="ar-SA"/>
              </w:rPr>
              <w:t>（1）制度规范符合相关规定，</w:t>
            </w:r>
            <w:r>
              <w:rPr>
                <w:rFonts w:hint="eastAsia" w:asciiTheme="minorEastAsia" w:hAnsiTheme="minorEastAsia" w:eastAsiaTheme="minorEastAsia" w:cstheme="minorEastAsia"/>
                <w:color w:val="auto"/>
                <w:kern w:val="2"/>
                <w:sz w:val="21"/>
                <w:szCs w:val="21"/>
                <w:lang w:val="zh-TW" w:eastAsia="zh-CN" w:bidi="ar-SA"/>
              </w:rPr>
              <w:t>实施安全管理过程务实且可操作性强，各项指标功能均能完成，</w:t>
            </w:r>
            <w:r>
              <w:rPr>
                <w:rFonts w:hint="eastAsia" w:asciiTheme="minorEastAsia" w:hAnsiTheme="minorEastAsia" w:eastAsiaTheme="minorEastAsia" w:cstheme="minorEastAsia"/>
                <w:color w:val="auto"/>
                <w:kern w:val="2"/>
                <w:sz w:val="21"/>
                <w:szCs w:val="21"/>
                <w:lang w:val="en-US" w:eastAsia="zh-CN" w:bidi="ar-SA"/>
              </w:rPr>
              <w:t>同时详细、合理，</w:t>
            </w:r>
            <w:r>
              <w:rPr>
                <w:rFonts w:hint="eastAsia" w:asciiTheme="minorEastAsia" w:hAnsiTheme="minorEastAsia" w:eastAsiaTheme="minorEastAsia" w:cstheme="minorEastAsia"/>
                <w:color w:val="auto"/>
                <w:sz w:val="21"/>
                <w:szCs w:val="21"/>
                <w:lang w:val="en-US" w:eastAsia="zh-CN"/>
              </w:rPr>
              <w:t>完全满足项目需求，得35分；</w:t>
            </w:r>
            <w:r>
              <w:rPr>
                <w:rFonts w:hint="eastAsia" w:asciiTheme="minorEastAsia" w:hAnsiTheme="minorEastAsia" w:eastAsiaTheme="minorEastAsia" w:cstheme="minorEastAsia"/>
                <w:color w:val="auto"/>
                <w:kern w:val="2"/>
                <w:sz w:val="21"/>
                <w:szCs w:val="21"/>
                <w:lang w:val="en-US" w:eastAsia="zh-CN" w:bidi="ar-SA"/>
              </w:rPr>
              <w:t xml:space="preserve"> </w:t>
            </w:r>
          </w:p>
          <w:p>
            <w:pPr>
              <w:spacing w:line="480" w:lineRule="exact"/>
              <w:ind w:firstLine="420" w:firstLineChars="200"/>
              <w:rPr>
                <w:rFonts w:hint="eastAsia" w:asciiTheme="minorEastAsia" w:hAnsiTheme="minorEastAsia" w:eastAsiaTheme="minorEastAsia" w:cstheme="minorEastAsia"/>
                <w:color w:val="auto"/>
                <w:kern w:val="2"/>
                <w:sz w:val="21"/>
                <w:szCs w:val="21"/>
                <w:lang w:val="zh-TW" w:eastAsia="zh-TW" w:bidi="ar-SA"/>
              </w:rPr>
            </w:pPr>
            <w:r>
              <w:rPr>
                <w:rFonts w:hint="eastAsia" w:asciiTheme="minorEastAsia" w:hAnsiTheme="minorEastAsia" w:eastAsiaTheme="minorEastAsia" w:cstheme="minorEastAsia"/>
                <w:color w:val="auto"/>
                <w:kern w:val="2"/>
                <w:sz w:val="21"/>
                <w:szCs w:val="21"/>
                <w:lang w:val="en-US" w:eastAsia="zh-CN" w:bidi="ar-SA"/>
              </w:rPr>
              <w:t>（2）制度规范，略有瑕疵，</w:t>
            </w:r>
            <w:r>
              <w:rPr>
                <w:rFonts w:hint="eastAsia" w:asciiTheme="minorEastAsia" w:hAnsiTheme="minorEastAsia" w:eastAsiaTheme="minorEastAsia" w:cstheme="minorEastAsia"/>
                <w:color w:val="auto"/>
                <w:sz w:val="21"/>
                <w:szCs w:val="21"/>
                <w:lang w:val="en-US" w:eastAsia="zh-CN"/>
              </w:rPr>
              <w:t>基本满足项目需求，得25分；</w:t>
            </w:r>
            <w:r>
              <w:rPr>
                <w:rFonts w:hint="eastAsia" w:asciiTheme="minorEastAsia" w:hAnsiTheme="minorEastAsia" w:eastAsiaTheme="minorEastAsia" w:cstheme="minorEastAsia"/>
                <w:color w:val="auto"/>
                <w:kern w:val="2"/>
                <w:sz w:val="21"/>
                <w:szCs w:val="21"/>
                <w:lang w:val="en-US" w:eastAsia="zh-CN" w:bidi="ar-SA"/>
              </w:rPr>
              <w:t xml:space="preserve"> </w:t>
            </w:r>
          </w:p>
          <w:p>
            <w:pPr>
              <w:pStyle w:val="29"/>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（3）制度有明显漏洞 ，内容不完整，</w:t>
            </w:r>
            <w:r>
              <w:rPr>
                <w:rFonts w:hint="eastAsia" w:asciiTheme="minorEastAsia" w:hAnsiTheme="minorEastAsia" w:eastAsiaTheme="minorEastAsia" w:cstheme="minorEastAsia"/>
                <w:color w:val="auto"/>
                <w:sz w:val="21"/>
                <w:szCs w:val="21"/>
                <w:lang w:val="en-US" w:eastAsia="zh-CN"/>
              </w:rPr>
              <w:t>针对性差，得15分。</w:t>
            </w:r>
          </w:p>
          <w:p>
            <w:pPr>
              <w:pStyle w:val="29"/>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（4）制度</w:t>
            </w:r>
            <w:r>
              <w:rPr>
                <w:rFonts w:hint="eastAsia" w:asciiTheme="minorEastAsia" w:hAnsiTheme="minorEastAsia" w:eastAsiaTheme="minorEastAsia" w:cstheme="minorEastAsia"/>
                <w:color w:val="auto"/>
                <w:sz w:val="21"/>
                <w:szCs w:val="21"/>
                <w:lang w:val="en-US" w:eastAsia="zh-CN"/>
              </w:rPr>
              <w:t>没有针对性，无法起到有效的服务工作，得5分。</w:t>
            </w:r>
          </w:p>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注：未提方案的，本项不得分。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42"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655" w:type="pct"/>
            <w:noWrap w:val="0"/>
            <w:vAlign w:val="center"/>
          </w:tcPr>
          <w:p>
            <w:pPr>
              <w:pStyle w:val="29"/>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价</w:t>
            </w:r>
          </w:p>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得  分</w:t>
            </w:r>
          </w:p>
        </w:tc>
        <w:tc>
          <w:tcPr>
            <w:tcW w:w="494" w:type="pct"/>
            <w:noWrap w:val="0"/>
            <w:vAlign w:val="center"/>
          </w:tcPr>
          <w:p>
            <w:pPr>
              <w:pStyle w:val="29"/>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3507" w:type="pct"/>
            <w:noWrap w:val="0"/>
            <w:vAlign w:val="center"/>
          </w:tcPr>
          <w:p>
            <w:pPr>
              <w:pStyle w:val="29"/>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综合评分法中的价格分统一采用低价优先法计算，即满足文件要求且最后报价最低的供应商的价格为基准价，其价格分为满分。其它供应商的价格分统一按照下列公式计算：报价得分=（基准价/</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报价）×</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8" w:type="pct"/>
            <w:gridSpan w:val="2"/>
            <w:noWrap w:val="0"/>
            <w:vAlign w:val="center"/>
          </w:tcPr>
          <w:p>
            <w:pPr>
              <w:pStyle w:val="29"/>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总分</w:t>
            </w:r>
          </w:p>
        </w:tc>
        <w:tc>
          <w:tcPr>
            <w:tcW w:w="494" w:type="pct"/>
            <w:noWrap w:val="0"/>
            <w:vAlign w:val="center"/>
          </w:tcPr>
          <w:p>
            <w:pPr>
              <w:pStyle w:val="29"/>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100分</w:t>
            </w:r>
          </w:p>
        </w:tc>
        <w:tc>
          <w:tcPr>
            <w:tcW w:w="3507" w:type="pct"/>
            <w:noWrap w:val="0"/>
            <w:vAlign w:val="center"/>
          </w:tcPr>
          <w:p>
            <w:pPr>
              <w:pStyle w:val="29"/>
              <w:jc w:val="center"/>
              <w:rPr>
                <w:rFonts w:hint="eastAsia" w:asciiTheme="minorEastAsia" w:hAnsiTheme="minorEastAsia" w:eastAsiaTheme="minorEastAsia" w:cstheme="minorEastAsia"/>
                <w:color w:val="auto"/>
                <w:sz w:val="21"/>
                <w:szCs w:val="21"/>
              </w:rPr>
            </w:pPr>
          </w:p>
        </w:tc>
      </w:tr>
    </w:tbl>
    <w:p>
      <w:pPr>
        <w:spacing w:line="360" w:lineRule="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7.1、</w:t>
      </w:r>
      <w:r>
        <w:rPr>
          <w:rFonts w:hint="eastAsia" w:ascii="宋体" w:hAnsi="宋体" w:eastAsia="宋体" w:cs="Times New Roman"/>
          <w:color w:val="auto"/>
          <w:sz w:val="22"/>
          <w:szCs w:val="22"/>
          <w:highlight w:val="none"/>
        </w:rPr>
        <w:t>商务技术分统计：按照评标程序、评分标准以及分值分配的规定，磋商小组成员分别就各个供应商的技术、商务状况，其对磋商文件要求的响应情况进行评议和比较，评出各供应商的技术商务总分，全部评委的评分的算术平均值即为该供应商的技术商务最终得分，全部评委的评分的算术平均值即为该供应商的技术商务最终得分。</w:t>
      </w:r>
    </w:p>
    <w:p>
      <w:pPr>
        <w:spacing w:line="360" w:lineRule="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7.2、</w:t>
      </w:r>
      <w:r>
        <w:rPr>
          <w:rFonts w:hint="eastAsia" w:ascii="宋体" w:hAnsi="宋体" w:eastAsia="宋体" w:cs="Times New Roman"/>
          <w:color w:val="auto"/>
          <w:sz w:val="22"/>
          <w:szCs w:val="22"/>
          <w:highlight w:val="none"/>
        </w:rPr>
        <w:t>综合得分=商务技术得分+价格得分。按照综合得分由高到低的顺序推荐成交候选人。</w:t>
      </w:r>
    </w:p>
    <w:p>
      <w:pPr>
        <w:spacing w:line="360" w:lineRule="auto"/>
        <w:jc w:val="center"/>
        <w:rPr>
          <w:rFonts w:hint="eastAsia" w:hAnsi="宋体" w:cs="Times New Roman"/>
          <w:b/>
          <w:bCs/>
          <w:color w:val="auto"/>
          <w:sz w:val="24"/>
          <w:szCs w:val="24"/>
          <w:highlight w:val="none"/>
          <w:lang w:eastAsia="zh-CN"/>
        </w:rPr>
      </w:pPr>
      <w:r>
        <w:rPr>
          <w:rFonts w:hint="eastAsia" w:ascii="宋体" w:hAnsi="宋体" w:eastAsia="宋体" w:cs="Times New Roman"/>
          <w:color w:val="auto"/>
          <w:sz w:val="24"/>
          <w:szCs w:val="24"/>
          <w:highlight w:val="none"/>
        </w:rPr>
        <w:br w:type="column"/>
      </w:r>
    </w:p>
    <w:p>
      <w:pPr>
        <w:spacing w:line="360" w:lineRule="auto"/>
        <w:jc w:val="center"/>
        <w:rPr>
          <w:rFonts w:hint="eastAsia" w:hAnsi="宋体" w:cs="Times New Roman"/>
          <w:b/>
          <w:bCs/>
          <w:color w:val="auto"/>
          <w:sz w:val="40"/>
          <w:szCs w:val="40"/>
          <w:highlight w:val="none"/>
          <w:lang w:eastAsia="zh-CN"/>
        </w:rPr>
      </w:pPr>
      <w:r>
        <w:rPr>
          <w:rFonts w:hint="eastAsia" w:hAnsi="宋体" w:cs="Times New Roman"/>
          <w:b/>
          <w:bCs/>
          <w:color w:val="auto"/>
          <w:sz w:val="40"/>
          <w:szCs w:val="40"/>
          <w:highlight w:val="none"/>
          <w:lang w:eastAsia="zh-CN"/>
        </w:rPr>
        <w:t>最终报价表</w:t>
      </w:r>
    </w:p>
    <w:p>
      <w:pPr>
        <w:spacing w:line="360" w:lineRule="auto"/>
        <w:jc w:val="both"/>
        <w:rPr>
          <w:rFonts w:hint="default" w:ascii="宋体"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项目名称：</w:t>
      </w:r>
    </w:p>
    <w:p>
      <w:pPr>
        <w:spacing w:line="360" w:lineRule="auto"/>
        <w:jc w:val="both"/>
        <w:rPr>
          <w:rFonts w:hint="eastAsia" w:hAnsi="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项目编号：</w:t>
      </w:r>
    </w:p>
    <w:p>
      <w:pPr>
        <w:pStyle w:val="16"/>
        <w:ind w:left="679" w:leftChars="0" w:hanging="679" w:hangingChars="283"/>
        <w:rPr>
          <w:rFonts w:hint="default" w:ascii="宋体" w:hAnsi="宋体" w:eastAsia="宋体" w:cs="Times New Roman"/>
          <w:b w:val="0"/>
          <w:color w:val="auto"/>
          <w:sz w:val="24"/>
          <w:szCs w:val="24"/>
          <w:highlight w:val="none"/>
          <w:lang w:val="en-US" w:eastAsia="zh-CN" w:bidi="ar-SA"/>
        </w:rPr>
      </w:pPr>
      <w:r>
        <w:rPr>
          <w:rFonts w:hint="eastAsia" w:ascii="宋体" w:hAnsi="宋体" w:eastAsia="宋体" w:cs="Times New Roman"/>
          <w:b w:val="0"/>
          <w:color w:val="auto"/>
          <w:sz w:val="24"/>
          <w:szCs w:val="24"/>
          <w:highlight w:val="none"/>
          <w:lang w:val="en-US" w:eastAsia="zh-CN" w:bidi="ar-SA"/>
        </w:rPr>
        <w:t>包号</w:t>
      </w:r>
      <w:r>
        <w:rPr>
          <w:rFonts w:hint="eastAsia" w:ascii="宋体" w:hAnsi="宋体" w:cs="Times New Roman"/>
          <w:b w:val="0"/>
          <w:color w:val="auto"/>
          <w:sz w:val="24"/>
          <w:szCs w:val="24"/>
          <w:highlight w:val="none"/>
          <w:lang w:val="en-US" w:eastAsia="zh-CN" w:bidi="ar-SA"/>
        </w:rPr>
        <w:t>：</w:t>
      </w:r>
    </w:p>
    <w:p>
      <w:pPr>
        <w:spacing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w:t>
      </w:r>
    </w:p>
    <w:p>
      <w:pPr>
        <w:spacing w:line="360" w:lineRule="auto"/>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528" w:type="dxa"/>
            <w:noWrap w:val="0"/>
            <w:vAlign w:val="top"/>
          </w:tcPr>
          <w:p>
            <w:pPr>
              <w:rPr>
                <w:rFonts w:hint="eastAsia" w:hAnsi="宋体"/>
                <w:color w:val="auto"/>
                <w:sz w:val="24"/>
                <w:highlight w:val="none"/>
              </w:rPr>
            </w:pPr>
          </w:p>
          <w:p>
            <w:pPr>
              <w:rPr>
                <w:rFonts w:hAnsi="宋体"/>
                <w:color w:val="auto"/>
                <w:sz w:val="24"/>
                <w:highlight w:val="none"/>
              </w:rPr>
            </w:pPr>
            <w:r>
              <w:rPr>
                <w:rFonts w:hint="eastAsia" w:hAnsi="宋体"/>
                <w:color w:val="auto"/>
                <w:sz w:val="24"/>
                <w:highlight w:val="none"/>
              </w:rPr>
              <w:t>投标人承诺（最终报价）：</w:t>
            </w:r>
          </w:p>
          <w:p>
            <w:pPr>
              <w:rPr>
                <w:rFonts w:hAnsi="宋体"/>
                <w:color w:val="auto"/>
                <w:sz w:val="24"/>
                <w:highlight w:val="none"/>
              </w:rPr>
            </w:pPr>
            <w:r>
              <w:rPr>
                <w:rFonts w:hint="eastAsia" w:hAnsi="宋体"/>
                <w:color w:val="auto"/>
                <w:sz w:val="24"/>
                <w:highlight w:val="none"/>
              </w:rPr>
              <w:t xml:space="preserve">      </w:t>
            </w:r>
          </w:p>
          <w:p>
            <w:pPr>
              <w:rPr>
                <w:rFonts w:hAnsi="宋体"/>
                <w:color w:val="auto"/>
                <w:sz w:val="24"/>
                <w:highlight w:val="none"/>
              </w:rPr>
            </w:pPr>
            <w:r>
              <w:rPr>
                <w:rFonts w:hint="eastAsia" w:hAnsi="宋体"/>
                <w:color w:val="auto"/>
                <w:sz w:val="24"/>
                <w:highlight w:val="none"/>
              </w:rPr>
              <w:t>人民币大写：</w:t>
            </w:r>
            <w:r>
              <w:rPr>
                <w:rFonts w:hint="eastAsia" w:hAnsi="宋体"/>
                <w:color w:val="auto"/>
                <w:sz w:val="24"/>
                <w:highlight w:val="none"/>
                <w:u w:val="single"/>
              </w:rPr>
              <w:t xml:space="preserve">                            </w:t>
            </w:r>
          </w:p>
          <w:p>
            <w:pPr>
              <w:ind w:firstLine="720" w:firstLineChars="300"/>
              <w:rPr>
                <w:rFonts w:hAnsi="宋体"/>
                <w:color w:val="auto"/>
                <w:sz w:val="24"/>
                <w:highlight w:val="none"/>
              </w:rPr>
            </w:pPr>
            <w:r>
              <w:rPr>
                <w:rFonts w:hint="eastAsia" w:hAnsi="宋体"/>
                <w:color w:val="auto"/>
                <w:sz w:val="24"/>
                <w:highlight w:val="none"/>
              </w:rPr>
              <w:t xml:space="preserve">     </w:t>
            </w:r>
          </w:p>
          <w:p>
            <w:pPr>
              <w:spacing w:line="360" w:lineRule="auto"/>
              <w:rPr>
                <w:rFonts w:hint="eastAsia" w:ascii="宋体" w:hAnsi="宋体" w:eastAsia="宋体" w:cs="Times New Roman"/>
                <w:color w:val="auto"/>
                <w:sz w:val="24"/>
                <w:szCs w:val="24"/>
                <w:highlight w:val="none"/>
                <w:vertAlign w:val="baseline"/>
              </w:rPr>
            </w:pPr>
            <w:r>
              <w:rPr>
                <w:rFonts w:hint="eastAsia" w:hAnsi="宋体"/>
                <w:color w:val="auto"/>
                <w:sz w:val="24"/>
                <w:highlight w:val="none"/>
              </w:rPr>
              <w:t xml:space="preserve"> 小写：</w:t>
            </w:r>
            <w:r>
              <w:rPr>
                <w:rFonts w:hint="eastAsia" w:hAnsi="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8" w:type="dxa"/>
            <w:noWrap w:val="0"/>
            <w:vAlign w:val="top"/>
          </w:tcPr>
          <w:p>
            <w:pPr>
              <w:rPr>
                <w:rFonts w:hAnsi="宋体"/>
                <w:color w:val="auto"/>
                <w:sz w:val="24"/>
                <w:highlight w:val="none"/>
              </w:rPr>
            </w:pPr>
            <w:r>
              <w:rPr>
                <w:rFonts w:hint="eastAsia" w:hAnsi="宋体"/>
                <w:color w:val="auto"/>
                <w:sz w:val="24"/>
                <w:highlight w:val="none"/>
              </w:rPr>
              <w:t>投标人承诺的其他条件：</w:t>
            </w: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ind w:firstLine="3600" w:firstLineChars="1500"/>
              <w:rPr>
                <w:rFonts w:hAnsi="宋体"/>
                <w:color w:val="auto"/>
                <w:sz w:val="24"/>
                <w:highlight w:val="none"/>
              </w:rPr>
            </w:pPr>
          </w:p>
          <w:p>
            <w:pPr>
              <w:ind w:firstLine="3600" w:firstLineChars="1500"/>
              <w:rPr>
                <w:rFonts w:hAnsi="宋体"/>
                <w:color w:val="auto"/>
                <w:sz w:val="24"/>
                <w:highlight w:val="none"/>
              </w:rPr>
            </w:pPr>
          </w:p>
          <w:p>
            <w:pPr>
              <w:ind w:firstLine="3600" w:firstLineChars="1500"/>
              <w:rPr>
                <w:rFonts w:hAnsi="宋体"/>
                <w:color w:val="auto"/>
                <w:sz w:val="24"/>
                <w:highlight w:val="none"/>
              </w:rPr>
            </w:pPr>
          </w:p>
          <w:p>
            <w:pPr>
              <w:pStyle w:val="2"/>
              <w:rPr>
                <w:color w:val="auto"/>
                <w:highlight w:val="none"/>
              </w:rPr>
            </w:pPr>
          </w:p>
          <w:p>
            <w:pPr>
              <w:ind w:firstLine="3600" w:firstLineChars="1500"/>
              <w:rPr>
                <w:rFonts w:hint="eastAsia" w:hAnsi="宋体"/>
                <w:color w:val="auto"/>
                <w:sz w:val="24"/>
                <w:highlight w:val="none"/>
              </w:rPr>
            </w:pPr>
            <w:r>
              <w:rPr>
                <w:rFonts w:hint="eastAsia" w:hAnsi="宋体"/>
                <w:color w:val="auto"/>
                <w:sz w:val="24"/>
                <w:highlight w:val="none"/>
              </w:rPr>
              <w:t>法人或授权代表签字：</w:t>
            </w:r>
          </w:p>
          <w:p>
            <w:pPr>
              <w:pStyle w:val="2"/>
              <w:ind w:firstLine="3600" w:firstLineChars="1500"/>
              <w:rPr>
                <w:rFonts w:hAnsi="宋体" w:eastAsia="宋体"/>
                <w:color w:val="auto"/>
                <w:szCs w:val="24"/>
                <w:highlight w:val="none"/>
              </w:rPr>
            </w:pPr>
            <w:r>
              <w:rPr>
                <w:rFonts w:hint="eastAsia" w:hAnsi="宋体" w:eastAsia="宋体"/>
                <w:color w:val="auto"/>
                <w:szCs w:val="24"/>
                <w:highlight w:val="none"/>
              </w:rPr>
              <w:t>身份证号码：</w:t>
            </w:r>
          </w:p>
          <w:p>
            <w:pPr>
              <w:ind w:firstLine="3600" w:firstLineChars="1500"/>
              <w:rPr>
                <w:rFonts w:hAnsi="宋体"/>
                <w:color w:val="auto"/>
                <w:sz w:val="24"/>
                <w:highlight w:val="none"/>
              </w:rPr>
            </w:pPr>
          </w:p>
          <w:p>
            <w:pPr>
              <w:rPr>
                <w:rFonts w:hAnsi="宋体"/>
                <w:color w:val="auto"/>
                <w:sz w:val="24"/>
                <w:highlight w:val="none"/>
              </w:rPr>
            </w:pPr>
            <w:r>
              <w:rPr>
                <w:rFonts w:hint="eastAsia" w:hAnsi="宋体"/>
                <w:color w:val="auto"/>
                <w:sz w:val="24"/>
                <w:highlight w:val="none"/>
              </w:rPr>
              <w:t xml:space="preserve">                              日        期：</w:t>
            </w:r>
            <w:r>
              <w:rPr>
                <w:rFonts w:hint="eastAsia" w:hAnsi="宋体"/>
                <w:color w:val="auto"/>
                <w:sz w:val="24"/>
                <w:highlight w:val="none"/>
                <w:lang w:val="en-US" w:eastAsia="zh-CN"/>
              </w:rPr>
              <w:t xml:space="preserve">     </w:t>
            </w:r>
            <w:r>
              <w:rPr>
                <w:rFonts w:hint="eastAsia" w:hAnsi="宋体"/>
                <w:color w:val="auto"/>
                <w:sz w:val="24"/>
                <w:highlight w:val="none"/>
              </w:rPr>
              <w:t>年   月   日</w:t>
            </w:r>
          </w:p>
          <w:p>
            <w:pPr>
              <w:spacing w:line="360" w:lineRule="auto"/>
              <w:rPr>
                <w:rFonts w:hint="eastAsia" w:ascii="宋体" w:hAnsi="宋体" w:eastAsia="宋体" w:cs="Times New Roman"/>
                <w:color w:val="auto"/>
                <w:sz w:val="24"/>
                <w:szCs w:val="24"/>
                <w:highlight w:val="none"/>
                <w:vertAlign w:val="baseline"/>
              </w:rPr>
            </w:pPr>
          </w:p>
        </w:tc>
      </w:tr>
    </w:tbl>
    <w:p>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注：此表无须附在响应文件中，由进行最终报价时现场提供。</w:t>
      </w:r>
    </w:p>
    <w:p>
      <w:pPr>
        <w:spacing w:line="360" w:lineRule="auto"/>
        <w:rPr>
          <w:rFonts w:hint="eastAsia" w:ascii="宋体" w:hAnsi="宋体" w:eastAsia="宋体" w:cs="Times New Roman"/>
          <w:color w:val="auto"/>
          <w:sz w:val="24"/>
          <w:szCs w:val="24"/>
          <w:highlight w:val="none"/>
        </w:rPr>
      </w:pPr>
    </w:p>
    <w:p>
      <w:pPr>
        <w:pStyle w:val="3"/>
        <w:pageBreakBefore/>
        <w:spacing w:before="0" w:after="0" w:line="276" w:lineRule="auto"/>
        <w:outlineLvl w:val="0"/>
        <w:rPr>
          <w:rFonts w:hint="eastAsia" w:ascii="宋体" w:hAnsi="宋体" w:eastAsia="宋体" w:cs="Times New Roman"/>
          <w:b/>
          <w:bCs/>
          <w:color w:val="auto"/>
          <w:kern w:val="0"/>
          <w:sz w:val="32"/>
          <w:szCs w:val="32"/>
          <w:highlight w:val="none"/>
          <w:lang w:val="en-US" w:eastAsia="zh-CN" w:bidi="ar-SA"/>
        </w:rPr>
      </w:pPr>
      <w:bookmarkStart w:id="73" w:name="_Toc71799155"/>
      <w:bookmarkStart w:id="74" w:name="_Toc495679414"/>
      <w:r>
        <w:rPr>
          <w:rFonts w:hint="eastAsia" w:ascii="宋体" w:hAnsi="宋体" w:eastAsia="宋体" w:cs="Times New Roman"/>
          <w:b/>
          <w:bCs/>
          <w:color w:val="auto"/>
          <w:kern w:val="0"/>
          <w:sz w:val="32"/>
          <w:szCs w:val="32"/>
          <w:highlight w:val="none"/>
          <w:lang w:val="en-US" w:eastAsia="zh-CN" w:bidi="ar-SA"/>
        </w:rPr>
        <w:t xml:space="preserve"> </w:t>
      </w:r>
      <w:bookmarkEnd w:id="73"/>
      <w:bookmarkEnd w:id="74"/>
      <w:bookmarkStart w:id="75" w:name="_Toc3315"/>
      <w:r>
        <w:rPr>
          <w:rFonts w:hint="eastAsia" w:ascii="宋体" w:hAnsi="宋体" w:eastAsia="宋体" w:cs="Times New Roman"/>
          <w:b/>
          <w:bCs/>
          <w:color w:val="auto"/>
          <w:kern w:val="0"/>
          <w:sz w:val="32"/>
          <w:szCs w:val="32"/>
          <w:highlight w:val="none"/>
          <w:lang w:val="en-US" w:eastAsia="zh-CN" w:bidi="ar-SA"/>
        </w:rPr>
        <w:t>第五章 合同条款</w:t>
      </w:r>
      <w:bookmarkEnd w:id="75"/>
    </w:p>
    <w:p>
      <w:pPr>
        <w:rPr>
          <w:rFonts w:hint="eastAsia"/>
          <w:color w:val="auto"/>
          <w:highlight w:val="none"/>
          <w:lang w:val="en-US" w:eastAsia="zh-CN"/>
        </w:rPr>
      </w:pPr>
    </w:p>
    <w:p>
      <w:pPr>
        <w:jc w:val="center"/>
        <w:rPr>
          <w:rFonts w:ascii="黑体" w:hAnsi="黑体" w:eastAsia="黑体"/>
          <w:b/>
          <w:color w:val="auto"/>
          <w:sz w:val="48"/>
          <w:szCs w:val="48"/>
          <w:highlight w:val="none"/>
        </w:rPr>
      </w:pPr>
      <w:r>
        <w:rPr>
          <w:rFonts w:hint="eastAsia" w:hAnsi="宋体"/>
          <w:b/>
          <w:bCs/>
          <w:color w:val="auto"/>
          <w:sz w:val="24"/>
          <w:szCs w:val="24"/>
          <w:highlight w:val="none"/>
        </w:rPr>
        <w:t>具体内容由成交供应商与采购人协商</w:t>
      </w:r>
      <w:r>
        <w:rPr>
          <w:rFonts w:hAnsi="宋体"/>
          <w:color w:val="auto"/>
          <w:sz w:val="24"/>
          <w:szCs w:val="24"/>
          <w:highlight w:val="none"/>
        </w:rPr>
        <w:t xml:space="preserve">   </w:t>
      </w:r>
    </w:p>
    <w:p>
      <w:pPr>
        <w:spacing w:line="500" w:lineRule="exact"/>
        <w:rPr>
          <w:rFonts w:hint="eastAsia" w:hAnsi="宋体" w:cs="宋体"/>
          <w:b/>
          <w:bCs/>
          <w:color w:val="auto"/>
          <w:sz w:val="24"/>
          <w:szCs w:val="24"/>
          <w:highlight w:val="none"/>
        </w:rPr>
      </w:pPr>
    </w:p>
    <w:p>
      <w:pPr>
        <w:spacing w:line="500" w:lineRule="exact"/>
        <w:rPr>
          <w:rFonts w:hint="eastAsia" w:hAnsi="宋体" w:cs="宋体"/>
          <w:b/>
          <w:bCs/>
          <w:color w:val="auto"/>
          <w:sz w:val="44"/>
          <w:szCs w:val="44"/>
          <w:highlight w:val="none"/>
        </w:rPr>
      </w:pPr>
    </w:p>
    <w:p>
      <w:pPr>
        <w:snapToGrid w:val="0"/>
        <w:spacing w:line="360" w:lineRule="auto"/>
        <w:rPr>
          <w:rFonts w:hAnsi="宋体"/>
          <w:color w:val="auto"/>
          <w:sz w:val="24"/>
          <w:szCs w:val="24"/>
          <w:highlight w:val="none"/>
        </w:rPr>
      </w:pPr>
    </w:p>
    <w:p>
      <w:pPr>
        <w:pStyle w:val="3"/>
        <w:pageBreakBefore/>
        <w:spacing w:before="0" w:after="0" w:line="360" w:lineRule="auto"/>
        <w:outlineLvl w:val="0"/>
        <w:rPr>
          <w:rFonts w:hAnsi="宋体"/>
          <w:color w:val="auto"/>
          <w:sz w:val="32"/>
          <w:szCs w:val="24"/>
          <w:highlight w:val="none"/>
        </w:rPr>
      </w:pPr>
      <w:bookmarkStart w:id="76" w:name="_Toc71799156"/>
      <w:bookmarkStart w:id="77" w:name="_Toc495679415"/>
      <w:bookmarkStart w:id="78" w:name="_Toc21362"/>
      <w:r>
        <w:rPr>
          <w:rFonts w:hint="eastAsia" w:hAnsi="宋体"/>
          <w:color w:val="auto"/>
          <w:sz w:val="32"/>
          <w:szCs w:val="24"/>
          <w:highlight w:val="none"/>
        </w:rPr>
        <w:t>第六章</w:t>
      </w:r>
      <w:r>
        <w:rPr>
          <w:rFonts w:hint="eastAsia" w:hAnsi="宋体"/>
          <w:color w:val="auto"/>
          <w:sz w:val="32"/>
          <w:szCs w:val="24"/>
          <w:highlight w:val="none"/>
          <w:lang w:val="en-US" w:eastAsia="zh-CN"/>
        </w:rPr>
        <w:t xml:space="preserve"> </w:t>
      </w:r>
      <w:r>
        <w:rPr>
          <w:rFonts w:hint="eastAsia" w:hAnsi="宋体"/>
          <w:color w:val="auto"/>
          <w:sz w:val="32"/>
          <w:szCs w:val="24"/>
          <w:highlight w:val="none"/>
        </w:rPr>
        <w:t>磋商响应文件格式</w:t>
      </w:r>
      <w:bookmarkEnd w:id="76"/>
      <w:bookmarkEnd w:id="77"/>
      <w:bookmarkEnd w:id="78"/>
    </w:p>
    <w:p>
      <w:pPr>
        <w:keepNext/>
        <w:keepLines/>
        <w:spacing w:before="260" w:after="260" w:line="413" w:lineRule="auto"/>
        <w:rPr>
          <w:rFonts w:hint="eastAsia" w:hAnsi="宋体" w:cs="宋体"/>
          <w:b/>
          <w:color w:val="auto"/>
          <w:sz w:val="28"/>
          <w:szCs w:val="24"/>
          <w:highlight w:val="none"/>
        </w:rPr>
      </w:pPr>
      <w:bookmarkStart w:id="79" w:name="_Toc520356217"/>
      <w:bookmarkStart w:id="80" w:name="_Ref467988698"/>
      <w:bookmarkStart w:id="81" w:name="_Toc480942349"/>
      <w:r>
        <w:rPr>
          <w:rFonts w:hint="eastAsia" w:hAnsi="宋体" w:cs="宋体"/>
          <w:b/>
          <w:color w:val="auto"/>
          <w:sz w:val="28"/>
          <w:szCs w:val="24"/>
          <w:highlight w:val="none"/>
        </w:rPr>
        <w:t>一、封面内容及格式要求</w:t>
      </w:r>
    </w:p>
    <w:p>
      <w:pPr>
        <w:keepNext/>
        <w:keepLines/>
        <w:spacing w:before="260" w:after="260" w:line="413" w:lineRule="auto"/>
        <w:rPr>
          <w:rFonts w:hAnsi="宋体" w:cs="宋体"/>
          <w:color w:val="auto"/>
          <w:sz w:val="24"/>
          <w:szCs w:val="24"/>
          <w:highlight w:val="none"/>
        </w:rPr>
      </w:pPr>
      <w:r>
        <w:rPr>
          <w:rFonts w:hint="eastAsia" w:hAnsi="宋体" w:cs="宋体"/>
          <w:color w:val="auto"/>
          <w:sz w:val="24"/>
          <w:szCs w:val="24"/>
          <w:highlight w:val="none"/>
        </w:rPr>
        <w:t>以下为参考格式，报价人可自行排版，但必须包含下述参考格式中的内容。</w:t>
      </w:r>
    </w:p>
    <w:bookmarkEnd w:id="64"/>
    <w:bookmarkEnd w:id="65"/>
    <w:bookmarkEnd w:id="79"/>
    <w:bookmarkEnd w:id="80"/>
    <w:bookmarkEnd w:id="81"/>
    <w:p>
      <w:pPr>
        <w:spacing w:line="360" w:lineRule="auto"/>
        <w:jc w:val="center"/>
        <w:rPr>
          <w:rFonts w:hAnsi="宋体" w:cs="宋体"/>
          <w:color w:val="auto"/>
          <w:sz w:val="24"/>
          <w:szCs w:val="24"/>
          <w:highlight w:val="none"/>
        </w:rPr>
      </w:pPr>
    </w:p>
    <w:p>
      <w:pPr>
        <w:spacing w:line="360" w:lineRule="auto"/>
        <w:ind w:firstLine="361" w:firstLineChars="150"/>
        <w:rPr>
          <w:rFonts w:hAnsi="宋体"/>
          <w:b/>
          <w:color w:val="auto"/>
          <w:sz w:val="24"/>
          <w:szCs w:val="24"/>
          <w:highlight w:val="none"/>
        </w:rPr>
      </w:pPr>
    </w:p>
    <w:p>
      <w:pPr>
        <w:spacing w:line="360" w:lineRule="auto"/>
        <w:ind w:firstLine="422" w:firstLineChars="150"/>
        <w:rPr>
          <w:rFonts w:hAnsi="宋体"/>
          <w:b/>
          <w:color w:val="auto"/>
          <w:sz w:val="28"/>
          <w:szCs w:val="24"/>
          <w:highlight w:val="none"/>
          <w:u w:val="single"/>
        </w:rPr>
      </w:pPr>
      <w:r>
        <w:rPr>
          <w:rFonts w:hint="eastAsia" w:hAnsi="宋体"/>
          <w:b/>
          <w:color w:val="auto"/>
          <w:sz w:val="28"/>
          <w:szCs w:val="24"/>
          <w:highlight w:val="none"/>
        </w:rPr>
        <w:t>项目名称：</w:t>
      </w:r>
      <w:r>
        <w:rPr>
          <w:rFonts w:hAnsi="宋体"/>
          <w:b/>
          <w:color w:val="auto"/>
          <w:sz w:val="28"/>
          <w:szCs w:val="24"/>
          <w:highlight w:val="none"/>
        </w:rPr>
        <w:t xml:space="preserve"> </w:t>
      </w:r>
      <w:r>
        <w:rPr>
          <w:rFonts w:hAnsi="宋体"/>
          <w:b/>
          <w:color w:val="auto"/>
          <w:sz w:val="28"/>
          <w:szCs w:val="24"/>
          <w:highlight w:val="none"/>
          <w:u w:val="single"/>
        </w:rPr>
        <w:t xml:space="preserve">            </w:t>
      </w:r>
    </w:p>
    <w:p>
      <w:pPr>
        <w:spacing w:line="360" w:lineRule="auto"/>
        <w:ind w:firstLine="422" w:firstLineChars="150"/>
        <w:rPr>
          <w:rFonts w:hAnsi="宋体"/>
          <w:b/>
          <w:color w:val="auto"/>
          <w:sz w:val="28"/>
          <w:szCs w:val="24"/>
          <w:highlight w:val="none"/>
          <w:u w:val="single"/>
        </w:rPr>
      </w:pPr>
      <w:r>
        <w:rPr>
          <w:rFonts w:hint="eastAsia" w:hAnsi="宋体"/>
          <w:b/>
          <w:color w:val="auto"/>
          <w:sz w:val="28"/>
          <w:szCs w:val="24"/>
          <w:highlight w:val="none"/>
        </w:rPr>
        <w:t>项目编号：</w:t>
      </w:r>
      <w:r>
        <w:rPr>
          <w:rFonts w:hAnsi="宋体"/>
          <w:b/>
          <w:color w:val="auto"/>
          <w:sz w:val="28"/>
          <w:szCs w:val="24"/>
          <w:highlight w:val="none"/>
        </w:rPr>
        <w:t xml:space="preserve"> </w:t>
      </w:r>
      <w:r>
        <w:rPr>
          <w:rFonts w:hAnsi="宋体"/>
          <w:b/>
          <w:color w:val="auto"/>
          <w:sz w:val="28"/>
          <w:szCs w:val="24"/>
          <w:highlight w:val="none"/>
          <w:u w:val="single"/>
        </w:rPr>
        <w:t xml:space="preserve">            </w:t>
      </w:r>
    </w:p>
    <w:p>
      <w:pPr>
        <w:spacing w:line="360" w:lineRule="auto"/>
        <w:ind w:firstLine="422" w:firstLineChars="150"/>
        <w:rPr>
          <w:rFonts w:hint="eastAsia" w:hAnsi="宋体"/>
          <w:b/>
          <w:color w:val="auto"/>
          <w:sz w:val="28"/>
          <w:szCs w:val="24"/>
          <w:highlight w:val="none"/>
          <w:lang w:val="en-US" w:eastAsia="zh-CN"/>
        </w:rPr>
      </w:pPr>
      <w:r>
        <w:rPr>
          <w:rFonts w:hint="eastAsia" w:hAnsi="宋体"/>
          <w:b/>
          <w:color w:val="auto"/>
          <w:sz w:val="28"/>
          <w:szCs w:val="24"/>
          <w:highlight w:val="none"/>
          <w:lang w:val="en-US" w:eastAsia="zh-CN"/>
        </w:rPr>
        <w:t xml:space="preserve">包    号： </w:t>
      </w:r>
      <w:r>
        <w:rPr>
          <w:rFonts w:hAnsi="宋体"/>
          <w:b/>
          <w:color w:val="auto"/>
          <w:sz w:val="28"/>
          <w:szCs w:val="24"/>
          <w:highlight w:val="none"/>
          <w:u w:val="single"/>
        </w:rPr>
        <w:t xml:space="preserve">            </w:t>
      </w:r>
    </w:p>
    <w:p>
      <w:pPr>
        <w:jc w:val="center"/>
        <w:rPr>
          <w:rFonts w:hAnsi="宋体"/>
          <w:b/>
          <w:bCs/>
          <w:color w:val="auto"/>
          <w:sz w:val="28"/>
          <w:szCs w:val="24"/>
          <w:highlight w:val="none"/>
          <w14:shadow w14:blurRad="50800" w14:dist="38100" w14:dir="2700000" w14:sx="100000" w14:sy="100000" w14:kx="0" w14:ky="0" w14:algn="tl">
            <w14:srgbClr w14:val="000000">
              <w14:alpha w14:val="60000"/>
            </w14:srgbClr>
          </w14:shadow>
        </w:rPr>
      </w:pPr>
    </w:p>
    <w:p>
      <w:pPr>
        <w:jc w:val="center"/>
        <w:rPr>
          <w:rFonts w:hint="eastAsia" w:hAnsi="宋体"/>
          <w:b/>
          <w:bCs/>
          <w:color w:val="auto"/>
          <w:sz w:val="36"/>
          <w:szCs w:val="24"/>
          <w:highlight w:val="none"/>
          <w14:shadow w14:blurRad="50800" w14:dist="38100" w14:dir="2700000" w14:sx="100000" w14:sy="100000" w14:kx="0" w14:ky="0" w14:algn="tl">
            <w14:srgbClr w14:val="000000">
              <w14:alpha w14:val="60000"/>
            </w14:srgbClr>
          </w14:shadow>
        </w:rPr>
      </w:pPr>
    </w:p>
    <w:p>
      <w:pPr>
        <w:jc w:val="center"/>
        <w:rPr>
          <w:rFonts w:hAnsi="宋体"/>
          <w:b/>
          <w:bCs/>
          <w:color w:val="auto"/>
          <w:sz w:val="36"/>
          <w:szCs w:val="24"/>
          <w:highlight w:val="none"/>
          <w14:shadow w14:blurRad="50800" w14:dist="38100" w14:dir="2700000" w14:sx="100000" w14:sy="100000" w14:kx="0" w14:ky="0" w14:algn="tl">
            <w14:srgbClr w14:val="000000">
              <w14:alpha w14:val="60000"/>
            </w14:srgbClr>
          </w14:shadow>
        </w:rPr>
      </w:pPr>
      <w:r>
        <w:rPr>
          <w:rFonts w:hint="eastAsia" w:hAnsi="宋体"/>
          <w:b/>
          <w:bCs/>
          <w:color w:val="auto"/>
          <w:sz w:val="36"/>
          <w:szCs w:val="24"/>
          <w:highlight w:val="none"/>
          <w14:shadow w14:blurRad="50800" w14:dist="38100" w14:dir="2700000" w14:sx="100000" w14:sy="100000" w14:kx="0" w14:ky="0" w14:algn="tl">
            <w14:srgbClr w14:val="000000">
              <w14:alpha w14:val="60000"/>
            </w14:srgbClr>
          </w14:shadow>
        </w:rPr>
        <w:t>磋商响应文件</w:t>
      </w:r>
    </w:p>
    <w:p>
      <w:pPr>
        <w:jc w:val="center"/>
        <w:rPr>
          <w:rFonts w:hAnsi="宋体"/>
          <w:b/>
          <w:bCs/>
          <w:color w:val="auto"/>
          <w:sz w:val="36"/>
          <w:szCs w:val="24"/>
          <w:highlight w:val="none"/>
          <w14:shadow w14:blurRad="50800" w14:dist="38100" w14:dir="2700000" w14:sx="100000" w14:sy="100000" w14:kx="0" w14:ky="0" w14:algn="tl">
            <w14:srgbClr w14:val="000000">
              <w14:alpha w14:val="60000"/>
            </w14:srgbClr>
          </w14:shadow>
        </w:rPr>
      </w:pPr>
      <w:r>
        <w:rPr>
          <w:rFonts w:hint="eastAsia" w:hAnsi="宋体"/>
          <w:b/>
          <w:bCs/>
          <w:color w:val="auto"/>
          <w:sz w:val="36"/>
          <w:szCs w:val="24"/>
          <w:highlight w:val="none"/>
          <w14:shadow w14:blurRad="50800" w14:dist="38100" w14:dir="2700000" w14:sx="100000" w14:sy="100000" w14:kx="0" w14:ky="0" w14:algn="tl">
            <w14:srgbClr w14:val="000000">
              <w14:alpha w14:val="60000"/>
            </w14:srgbClr>
          </w14:shadow>
        </w:rPr>
        <w:t>【正本</w:t>
      </w:r>
      <w:r>
        <w:rPr>
          <w:rFonts w:hAnsi="宋体"/>
          <w:b/>
          <w:bCs/>
          <w:color w:val="auto"/>
          <w:sz w:val="36"/>
          <w:szCs w:val="24"/>
          <w:highlight w:val="none"/>
          <w14:shadow w14:blurRad="50800" w14:dist="38100" w14:dir="2700000" w14:sx="100000" w14:sy="100000" w14:kx="0" w14:ky="0" w14:algn="tl">
            <w14:srgbClr w14:val="000000">
              <w14:alpha w14:val="60000"/>
            </w14:srgbClr>
          </w14:shadow>
        </w:rPr>
        <w:t>/</w:t>
      </w:r>
      <w:r>
        <w:rPr>
          <w:rFonts w:hint="eastAsia" w:hAnsi="宋体"/>
          <w:b/>
          <w:bCs/>
          <w:color w:val="auto"/>
          <w:sz w:val="36"/>
          <w:szCs w:val="24"/>
          <w:highlight w:val="none"/>
          <w14:shadow w14:blurRad="50800" w14:dist="38100" w14:dir="2700000" w14:sx="100000" w14:sy="100000" w14:kx="0" w14:ky="0" w14:algn="tl">
            <w14:srgbClr w14:val="000000">
              <w14:alpha w14:val="60000"/>
            </w14:srgbClr>
          </w14:shadow>
        </w:rPr>
        <w:t>副本】</w:t>
      </w:r>
    </w:p>
    <w:p>
      <w:pPr>
        <w:rPr>
          <w:rFonts w:hAnsi="宋体"/>
          <w:b/>
          <w:color w:val="auto"/>
          <w:sz w:val="28"/>
          <w:szCs w:val="24"/>
          <w:highlight w:val="none"/>
          <w:u w:val="single"/>
        </w:rPr>
      </w:pPr>
    </w:p>
    <w:p>
      <w:pPr>
        <w:rPr>
          <w:rFonts w:hAnsi="宋体"/>
          <w:b/>
          <w:color w:val="auto"/>
          <w:sz w:val="28"/>
          <w:szCs w:val="24"/>
          <w:highlight w:val="none"/>
          <w:u w:val="single"/>
        </w:rPr>
      </w:pPr>
    </w:p>
    <w:p>
      <w:pPr>
        <w:rPr>
          <w:rFonts w:hint="eastAsia" w:hAnsi="宋体"/>
          <w:b/>
          <w:color w:val="auto"/>
          <w:sz w:val="28"/>
          <w:szCs w:val="24"/>
          <w:highlight w:val="none"/>
          <w:u w:val="single"/>
        </w:rPr>
      </w:pPr>
    </w:p>
    <w:p>
      <w:pPr>
        <w:rPr>
          <w:rFonts w:hAnsi="宋体"/>
          <w:b/>
          <w:color w:val="auto"/>
          <w:sz w:val="28"/>
          <w:szCs w:val="24"/>
          <w:highlight w:val="none"/>
          <w:u w:val="single"/>
        </w:rPr>
      </w:pPr>
    </w:p>
    <w:p>
      <w:pPr>
        <w:rPr>
          <w:rFonts w:hAnsi="宋体"/>
          <w:b/>
          <w:color w:val="auto"/>
          <w:sz w:val="28"/>
          <w:szCs w:val="24"/>
          <w:highlight w:val="none"/>
        </w:rPr>
      </w:pPr>
      <w:r>
        <w:rPr>
          <w:rFonts w:hAnsi="宋体"/>
          <w:b/>
          <w:color w:val="auto"/>
          <w:sz w:val="28"/>
          <w:szCs w:val="24"/>
          <w:highlight w:val="none"/>
        </w:rPr>
        <w:t xml:space="preserve">        </w:t>
      </w:r>
    </w:p>
    <w:p>
      <w:pPr>
        <w:tabs>
          <w:tab w:val="left" w:pos="630"/>
        </w:tabs>
        <w:autoSpaceDE w:val="0"/>
        <w:autoSpaceDN w:val="0"/>
        <w:spacing w:line="360" w:lineRule="auto"/>
        <w:ind w:firstLine="422" w:firstLineChars="150"/>
        <w:textAlignment w:val="bottom"/>
        <w:rPr>
          <w:rFonts w:hAnsi="宋体"/>
          <w:b/>
          <w:color w:val="auto"/>
          <w:sz w:val="28"/>
          <w:szCs w:val="24"/>
          <w:highlight w:val="none"/>
          <w:u w:val="single"/>
        </w:rPr>
      </w:pPr>
      <w:r>
        <w:rPr>
          <w:rFonts w:hint="eastAsia" w:hAnsi="宋体"/>
          <w:b/>
          <w:color w:val="auto"/>
          <w:sz w:val="28"/>
          <w:szCs w:val="24"/>
          <w:highlight w:val="none"/>
        </w:rPr>
        <w:t>供应商名称（公章）：</w:t>
      </w:r>
      <w:r>
        <w:rPr>
          <w:rFonts w:hAnsi="宋体"/>
          <w:b/>
          <w:color w:val="auto"/>
          <w:sz w:val="28"/>
          <w:szCs w:val="24"/>
          <w:highlight w:val="none"/>
        </w:rPr>
        <w:t xml:space="preserve"> </w:t>
      </w:r>
      <w:r>
        <w:rPr>
          <w:rFonts w:hAnsi="宋体"/>
          <w:b/>
          <w:color w:val="auto"/>
          <w:sz w:val="28"/>
          <w:szCs w:val="24"/>
          <w:highlight w:val="none"/>
          <w:u w:val="single"/>
        </w:rPr>
        <w:t xml:space="preserve">                    </w:t>
      </w:r>
    </w:p>
    <w:p>
      <w:pPr>
        <w:spacing w:line="360" w:lineRule="auto"/>
        <w:ind w:firstLine="422" w:firstLineChars="150"/>
        <w:rPr>
          <w:rFonts w:hint="eastAsia" w:hAnsi="宋体"/>
          <w:b/>
          <w:color w:val="auto"/>
          <w:sz w:val="28"/>
          <w:szCs w:val="24"/>
          <w:highlight w:val="none"/>
          <w:u w:val="single"/>
        </w:rPr>
      </w:pPr>
      <w:r>
        <w:rPr>
          <w:rFonts w:hint="eastAsia" w:hAnsi="宋体"/>
          <w:b/>
          <w:color w:val="auto"/>
          <w:sz w:val="28"/>
          <w:szCs w:val="24"/>
          <w:highlight w:val="none"/>
        </w:rPr>
        <w:t>法定代表人或授权代表（签字）：</w:t>
      </w:r>
      <w:r>
        <w:rPr>
          <w:rFonts w:hAnsi="宋体"/>
          <w:b/>
          <w:color w:val="auto"/>
          <w:sz w:val="28"/>
          <w:szCs w:val="24"/>
          <w:highlight w:val="none"/>
          <w:u w:val="single"/>
        </w:rPr>
        <w:t xml:space="preserve">              </w:t>
      </w:r>
    </w:p>
    <w:p>
      <w:pPr>
        <w:spacing w:line="360" w:lineRule="auto"/>
        <w:ind w:firstLine="422" w:firstLineChars="150"/>
        <w:rPr>
          <w:rFonts w:hint="eastAsia" w:hAnsi="宋体"/>
          <w:b/>
          <w:color w:val="auto"/>
          <w:sz w:val="28"/>
          <w:szCs w:val="24"/>
          <w:highlight w:val="none"/>
        </w:rPr>
      </w:pPr>
      <w:r>
        <w:rPr>
          <w:rFonts w:hint="eastAsia" w:hAnsi="宋体"/>
          <w:b/>
          <w:color w:val="auto"/>
          <w:sz w:val="28"/>
          <w:szCs w:val="24"/>
          <w:highlight w:val="none"/>
        </w:rPr>
        <w:t>联系电话：</w:t>
      </w:r>
      <w:r>
        <w:rPr>
          <w:rFonts w:hint="eastAsia" w:hAnsi="宋体"/>
          <w:b/>
          <w:color w:val="auto"/>
          <w:sz w:val="28"/>
          <w:szCs w:val="24"/>
          <w:highlight w:val="none"/>
          <w:u w:val="single"/>
        </w:rPr>
        <w:t xml:space="preserve">                             </w:t>
      </w:r>
    </w:p>
    <w:p>
      <w:pPr>
        <w:spacing w:line="360" w:lineRule="auto"/>
        <w:ind w:firstLine="422" w:firstLineChars="150"/>
        <w:rPr>
          <w:rFonts w:hAnsi="宋体"/>
          <w:color w:val="auto"/>
          <w:sz w:val="28"/>
          <w:szCs w:val="24"/>
          <w:highlight w:val="none"/>
        </w:rPr>
      </w:pPr>
      <w:r>
        <w:rPr>
          <w:rFonts w:hint="eastAsia" w:hAnsi="宋体"/>
          <w:b/>
          <w:color w:val="auto"/>
          <w:sz w:val="28"/>
          <w:szCs w:val="24"/>
          <w:highlight w:val="none"/>
        </w:rPr>
        <w:t>磋商日期：</w:t>
      </w:r>
      <w:r>
        <w:rPr>
          <w:rFonts w:hAnsi="宋体"/>
          <w:b/>
          <w:color w:val="auto"/>
          <w:sz w:val="28"/>
          <w:szCs w:val="24"/>
          <w:highlight w:val="none"/>
        </w:rPr>
        <w:t xml:space="preserve">       </w:t>
      </w:r>
      <w:r>
        <w:rPr>
          <w:rFonts w:hint="eastAsia" w:hAnsi="宋体"/>
          <w:b/>
          <w:color w:val="auto"/>
          <w:sz w:val="28"/>
          <w:szCs w:val="24"/>
          <w:highlight w:val="none"/>
        </w:rPr>
        <w:t>年</w:t>
      </w:r>
      <w:r>
        <w:rPr>
          <w:rFonts w:hAnsi="宋体"/>
          <w:b/>
          <w:color w:val="auto"/>
          <w:sz w:val="28"/>
          <w:szCs w:val="24"/>
          <w:highlight w:val="none"/>
        </w:rPr>
        <w:t xml:space="preserve">   </w:t>
      </w:r>
      <w:r>
        <w:rPr>
          <w:rFonts w:hint="eastAsia" w:hAnsi="宋体"/>
          <w:b/>
          <w:color w:val="auto"/>
          <w:sz w:val="28"/>
          <w:szCs w:val="24"/>
          <w:highlight w:val="none"/>
        </w:rPr>
        <w:t>月</w:t>
      </w:r>
      <w:r>
        <w:rPr>
          <w:rFonts w:hAnsi="宋体"/>
          <w:b/>
          <w:color w:val="auto"/>
          <w:sz w:val="28"/>
          <w:szCs w:val="24"/>
          <w:highlight w:val="none"/>
        </w:rPr>
        <w:t xml:space="preserve">   </w:t>
      </w:r>
      <w:r>
        <w:rPr>
          <w:rFonts w:hint="eastAsia" w:hAnsi="宋体"/>
          <w:b/>
          <w:color w:val="auto"/>
          <w:sz w:val="28"/>
          <w:szCs w:val="24"/>
          <w:highlight w:val="none"/>
        </w:rPr>
        <w:t>日</w:t>
      </w:r>
    </w:p>
    <w:p>
      <w:pPr>
        <w:tabs>
          <w:tab w:val="left" w:pos="900"/>
          <w:tab w:val="left" w:pos="5580"/>
        </w:tabs>
        <w:spacing w:line="360" w:lineRule="auto"/>
        <w:ind w:left="902" w:firstLine="480" w:firstLineChars="200"/>
        <w:rPr>
          <w:rFonts w:hAnsi="宋体"/>
          <w:color w:val="auto"/>
          <w:sz w:val="24"/>
          <w:szCs w:val="24"/>
          <w:highlight w:val="none"/>
        </w:rPr>
      </w:pPr>
    </w:p>
    <w:p>
      <w:pPr>
        <w:keepNext/>
        <w:keepLines/>
        <w:spacing w:before="260" w:after="260" w:line="413" w:lineRule="auto"/>
        <w:rPr>
          <w:rFonts w:hint="eastAsia" w:hAnsi="宋体"/>
          <w:color w:val="auto"/>
          <w:sz w:val="24"/>
          <w:szCs w:val="24"/>
          <w:highlight w:val="none"/>
        </w:rPr>
      </w:pPr>
      <w:r>
        <w:rPr>
          <w:rFonts w:hAnsi="宋体"/>
          <w:color w:val="auto"/>
          <w:sz w:val="24"/>
          <w:szCs w:val="24"/>
          <w:highlight w:val="none"/>
        </w:rPr>
        <w:br w:type="page"/>
      </w:r>
      <w:r>
        <w:rPr>
          <w:rFonts w:hint="eastAsia" w:hAnsi="宋体" w:cs="宋体"/>
          <w:b/>
          <w:color w:val="auto"/>
          <w:sz w:val="28"/>
          <w:szCs w:val="24"/>
          <w:highlight w:val="none"/>
        </w:rPr>
        <w:t>二、磋商响应文件的内容及格式</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请投标人按照以下文件要求的格式、内容制作磋商响应文件，并按以下顺序编制目录及页码，否则可能将影响对磋商响应文件的评价：</w:t>
      </w:r>
    </w:p>
    <w:p>
      <w:pPr>
        <w:spacing w:line="360" w:lineRule="auto"/>
        <w:ind w:left="-14" w:leftChars="-4" w:firstLine="146" w:firstLineChars="52"/>
        <w:jc w:val="center"/>
        <w:outlineLvl w:val="0"/>
        <w:rPr>
          <w:rFonts w:hAnsi="宋体" w:cs="Arial"/>
          <w:b/>
          <w:bCs/>
          <w:color w:val="auto"/>
          <w:sz w:val="28"/>
          <w:szCs w:val="24"/>
          <w:highlight w:val="none"/>
        </w:rPr>
      </w:pPr>
      <w:bookmarkStart w:id="82" w:name="_Toc17934"/>
      <w:r>
        <w:rPr>
          <w:rFonts w:hint="eastAsia" w:hAnsi="宋体"/>
          <w:b/>
          <w:color w:val="auto"/>
          <w:sz w:val="28"/>
          <w:szCs w:val="24"/>
          <w:highlight w:val="none"/>
        </w:rPr>
        <w:t>磋商响应</w:t>
      </w:r>
      <w:r>
        <w:rPr>
          <w:rFonts w:hint="eastAsia" w:hAnsi="宋体" w:cs="Arial"/>
          <w:b/>
          <w:bCs/>
          <w:color w:val="auto"/>
          <w:sz w:val="28"/>
          <w:szCs w:val="24"/>
          <w:highlight w:val="none"/>
        </w:rPr>
        <w:t>文件的组成（目录）</w:t>
      </w:r>
      <w:bookmarkEnd w:id="82"/>
    </w:p>
    <w:p>
      <w:pPr>
        <w:spacing w:line="360" w:lineRule="auto"/>
        <w:ind w:left="-14" w:leftChars="-4" w:firstLine="124" w:firstLineChars="52"/>
        <w:outlineLvl w:val="0"/>
        <w:rPr>
          <w:rFonts w:hAnsi="宋体" w:cs="Arial"/>
          <w:color w:val="auto"/>
          <w:sz w:val="24"/>
          <w:szCs w:val="24"/>
          <w:highlight w:val="none"/>
        </w:rPr>
      </w:pPr>
      <w:bookmarkStart w:id="83" w:name="_Toc17695"/>
      <w:r>
        <w:rPr>
          <w:rFonts w:hAnsi="宋体" w:cs="Arial"/>
          <w:color w:val="auto"/>
          <w:sz w:val="24"/>
          <w:szCs w:val="24"/>
          <w:highlight w:val="none"/>
        </w:rPr>
        <w:t>1</w:t>
      </w:r>
      <w:r>
        <w:rPr>
          <w:rFonts w:hint="eastAsia" w:hAnsi="宋体" w:cs="Arial"/>
          <w:color w:val="auto"/>
          <w:sz w:val="24"/>
          <w:szCs w:val="24"/>
          <w:highlight w:val="none"/>
        </w:rPr>
        <w:t>、投标函及投标函附录</w:t>
      </w:r>
      <w:bookmarkEnd w:id="83"/>
    </w:p>
    <w:p>
      <w:pPr>
        <w:spacing w:line="360" w:lineRule="auto"/>
        <w:ind w:left="-14" w:leftChars="-4" w:firstLine="124" w:firstLineChars="52"/>
        <w:outlineLvl w:val="0"/>
        <w:rPr>
          <w:rFonts w:hAnsi="宋体" w:cs="Arial"/>
          <w:color w:val="auto"/>
          <w:sz w:val="24"/>
          <w:szCs w:val="24"/>
          <w:highlight w:val="none"/>
        </w:rPr>
      </w:pPr>
      <w:bookmarkStart w:id="84" w:name="_Toc1961"/>
      <w:r>
        <w:rPr>
          <w:rFonts w:hint="eastAsia" w:hAnsi="宋体" w:cs="Arial"/>
          <w:color w:val="auto"/>
          <w:sz w:val="24"/>
          <w:szCs w:val="24"/>
          <w:highlight w:val="none"/>
        </w:rPr>
        <w:t>2、报价一览表</w:t>
      </w:r>
      <w:bookmarkEnd w:id="84"/>
    </w:p>
    <w:p>
      <w:pPr>
        <w:spacing w:line="360" w:lineRule="auto"/>
        <w:ind w:left="-14" w:leftChars="-4" w:firstLine="124" w:firstLineChars="52"/>
        <w:outlineLvl w:val="0"/>
        <w:rPr>
          <w:rFonts w:hAnsi="宋体" w:cs="Arial"/>
          <w:color w:val="auto"/>
          <w:sz w:val="24"/>
          <w:szCs w:val="24"/>
          <w:highlight w:val="none"/>
        </w:rPr>
      </w:pPr>
      <w:bookmarkStart w:id="85" w:name="_Toc29573"/>
      <w:r>
        <w:rPr>
          <w:rFonts w:hint="eastAsia" w:hAnsi="宋体" w:cs="Arial"/>
          <w:color w:val="auto"/>
          <w:sz w:val="24"/>
          <w:szCs w:val="24"/>
          <w:highlight w:val="none"/>
        </w:rPr>
        <w:t>3、法定代表人证明书和法定代表人委托书</w:t>
      </w:r>
      <w:bookmarkEnd w:id="85"/>
    </w:p>
    <w:p>
      <w:pPr>
        <w:spacing w:line="360" w:lineRule="auto"/>
        <w:ind w:left="-14" w:leftChars="-4" w:firstLine="124" w:firstLineChars="52"/>
        <w:outlineLvl w:val="0"/>
        <w:rPr>
          <w:rFonts w:hint="eastAsia" w:hAnsi="宋体" w:cs="Arial"/>
          <w:color w:val="auto"/>
          <w:sz w:val="24"/>
          <w:szCs w:val="24"/>
          <w:highlight w:val="none"/>
        </w:rPr>
      </w:pPr>
      <w:bookmarkStart w:id="86" w:name="_Toc32117"/>
      <w:r>
        <w:rPr>
          <w:rFonts w:hint="eastAsia" w:hAnsi="宋体" w:cs="Arial"/>
          <w:color w:val="auto"/>
          <w:sz w:val="24"/>
          <w:szCs w:val="24"/>
          <w:highlight w:val="none"/>
        </w:rPr>
        <w:t>4、供应商资格要求证明材料</w:t>
      </w:r>
      <w:bookmarkEnd w:id="86"/>
    </w:p>
    <w:p>
      <w:pPr>
        <w:spacing w:line="360" w:lineRule="auto"/>
        <w:ind w:left="-14" w:leftChars="-4" w:firstLine="124" w:firstLineChars="52"/>
        <w:outlineLvl w:val="0"/>
        <w:rPr>
          <w:rFonts w:hint="eastAsia" w:hAnsi="宋体" w:cs="Arial"/>
          <w:color w:val="auto"/>
          <w:sz w:val="24"/>
          <w:szCs w:val="24"/>
          <w:highlight w:val="none"/>
        </w:rPr>
      </w:pPr>
      <w:bookmarkStart w:id="87" w:name="_Toc32584"/>
      <w:r>
        <w:rPr>
          <w:rFonts w:hint="eastAsia" w:hAnsi="宋体" w:cs="Arial"/>
          <w:color w:val="auto"/>
          <w:sz w:val="24"/>
          <w:szCs w:val="24"/>
          <w:highlight w:val="none"/>
        </w:rPr>
        <w:t>5、</w:t>
      </w:r>
      <w:r>
        <w:rPr>
          <w:rFonts w:hint="eastAsia" w:hAnsi="宋体" w:cs="Arial"/>
          <w:color w:val="auto"/>
          <w:sz w:val="24"/>
          <w:szCs w:val="24"/>
          <w:highlight w:val="none"/>
          <w:lang w:val="en-US" w:eastAsia="zh-CN"/>
        </w:rPr>
        <w:t>采购</w:t>
      </w:r>
      <w:r>
        <w:rPr>
          <w:rFonts w:hint="eastAsia" w:hAnsi="宋体" w:cs="Arial"/>
          <w:color w:val="auto"/>
          <w:sz w:val="24"/>
          <w:szCs w:val="24"/>
          <w:highlight w:val="none"/>
        </w:rPr>
        <w:t>需求</w:t>
      </w:r>
      <w:r>
        <w:rPr>
          <w:rFonts w:hint="eastAsia" w:hAnsi="宋体" w:cs="Arial"/>
          <w:color w:val="auto"/>
          <w:sz w:val="24"/>
          <w:szCs w:val="24"/>
          <w:highlight w:val="none"/>
          <w:lang w:val="en-US" w:eastAsia="zh-CN"/>
        </w:rPr>
        <w:t>书响应</w:t>
      </w:r>
      <w:r>
        <w:rPr>
          <w:rFonts w:hint="eastAsia" w:hAnsi="宋体" w:cs="Arial"/>
          <w:color w:val="auto"/>
          <w:sz w:val="24"/>
          <w:szCs w:val="24"/>
          <w:highlight w:val="none"/>
        </w:rPr>
        <w:t>表</w:t>
      </w:r>
      <w:bookmarkEnd w:id="87"/>
    </w:p>
    <w:p>
      <w:pPr>
        <w:spacing w:line="360" w:lineRule="auto"/>
        <w:ind w:left="-14" w:leftChars="-4" w:firstLine="124" w:firstLineChars="52"/>
        <w:outlineLvl w:val="0"/>
        <w:rPr>
          <w:rFonts w:hint="eastAsia" w:hAnsi="宋体" w:eastAsia="宋体"/>
          <w:color w:val="auto"/>
          <w:sz w:val="24"/>
          <w:szCs w:val="24"/>
          <w:highlight w:val="none"/>
          <w:lang w:val="en-US" w:eastAsia="zh-CN"/>
        </w:rPr>
      </w:pPr>
      <w:bookmarkStart w:id="88" w:name="_Toc16981"/>
      <w:r>
        <w:rPr>
          <w:rFonts w:hint="eastAsia" w:hAnsi="宋体"/>
          <w:color w:val="auto"/>
          <w:sz w:val="24"/>
          <w:szCs w:val="24"/>
          <w:highlight w:val="none"/>
          <w:lang w:val="en-US" w:eastAsia="zh-CN"/>
        </w:rPr>
        <w:t>6、优先中标包号选择承诺函</w:t>
      </w:r>
    </w:p>
    <w:p>
      <w:pPr>
        <w:spacing w:line="360" w:lineRule="auto"/>
        <w:ind w:left="-14" w:leftChars="-4" w:firstLine="124" w:firstLineChars="52"/>
        <w:outlineLvl w:val="0"/>
        <w:rPr>
          <w:rFonts w:hint="eastAsia" w:hAnsi="宋体"/>
          <w:color w:val="auto"/>
          <w:sz w:val="24"/>
          <w:szCs w:val="24"/>
          <w:highlight w:val="none"/>
        </w:rPr>
      </w:pPr>
      <w:r>
        <w:rPr>
          <w:rFonts w:hint="eastAsia" w:hAnsi="宋体"/>
          <w:color w:val="auto"/>
          <w:sz w:val="24"/>
          <w:szCs w:val="24"/>
          <w:highlight w:val="none"/>
          <w:lang w:val="en-US" w:eastAsia="zh-CN"/>
        </w:rPr>
        <w:t>7</w:t>
      </w:r>
      <w:r>
        <w:rPr>
          <w:rFonts w:hint="eastAsia" w:hAnsi="宋体"/>
          <w:color w:val="auto"/>
          <w:sz w:val="24"/>
          <w:szCs w:val="24"/>
          <w:highlight w:val="none"/>
        </w:rPr>
        <w:t>、项目方案（格式自拟）</w:t>
      </w:r>
      <w:bookmarkEnd w:id="88"/>
    </w:p>
    <w:p>
      <w:pPr>
        <w:spacing w:line="360" w:lineRule="auto"/>
        <w:ind w:left="-14" w:leftChars="-4" w:firstLine="124" w:firstLineChars="52"/>
        <w:outlineLvl w:val="0"/>
        <w:rPr>
          <w:rFonts w:hAnsi="宋体" w:cs="Arial"/>
          <w:color w:val="auto"/>
          <w:sz w:val="24"/>
          <w:szCs w:val="24"/>
          <w:highlight w:val="none"/>
        </w:rPr>
      </w:pPr>
      <w:bookmarkStart w:id="89" w:name="_Toc26954"/>
      <w:r>
        <w:rPr>
          <w:rFonts w:hint="eastAsia" w:hAnsi="宋体" w:cs="Arial"/>
          <w:color w:val="auto"/>
          <w:sz w:val="24"/>
          <w:szCs w:val="24"/>
          <w:highlight w:val="none"/>
          <w:lang w:val="en-US" w:eastAsia="zh-CN"/>
        </w:rPr>
        <w:t>8</w:t>
      </w:r>
      <w:r>
        <w:rPr>
          <w:rFonts w:hint="eastAsia" w:hAnsi="宋体" w:cs="Arial"/>
          <w:color w:val="auto"/>
          <w:sz w:val="24"/>
          <w:szCs w:val="24"/>
          <w:highlight w:val="none"/>
        </w:rPr>
        <w:t>、其他供应商认为需提供的材料</w:t>
      </w:r>
      <w:bookmarkEnd w:id="89"/>
    </w:p>
    <w:p>
      <w:pPr>
        <w:spacing w:line="360" w:lineRule="auto"/>
        <w:rPr>
          <w:rFonts w:hint="eastAsia" w:hAnsi="宋体"/>
          <w:b/>
          <w:color w:val="auto"/>
          <w:sz w:val="24"/>
          <w:szCs w:val="24"/>
          <w:highlight w:val="none"/>
        </w:rPr>
      </w:pPr>
      <w:r>
        <w:rPr>
          <w:rFonts w:hint="eastAsia" w:hAnsi="宋体"/>
          <w:b/>
          <w:color w:val="auto"/>
          <w:sz w:val="24"/>
          <w:szCs w:val="24"/>
          <w:highlight w:val="none"/>
        </w:rPr>
        <w:t>注：</w:t>
      </w:r>
    </w:p>
    <w:p>
      <w:pPr>
        <w:spacing w:line="360" w:lineRule="auto"/>
        <w:rPr>
          <w:rFonts w:hint="eastAsia" w:hAnsi="宋体"/>
          <w:b/>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、供应商编制上述文件时，本磋商响应文件第六章已提供格式的文件须按格式要求填写。</w:t>
      </w:r>
    </w:p>
    <w:p>
      <w:pPr>
        <w:spacing w:line="360" w:lineRule="auto"/>
        <w:rPr>
          <w:rFonts w:hint="eastAsia" w:hAnsi="宋体"/>
          <w:b/>
          <w:color w:val="auto"/>
          <w:sz w:val="24"/>
          <w:szCs w:val="24"/>
          <w:highlight w:val="none"/>
        </w:rPr>
      </w:pPr>
      <w:r>
        <w:rPr>
          <w:rFonts w:hAnsi="宋体"/>
          <w:b/>
          <w:color w:val="auto"/>
          <w:sz w:val="24"/>
          <w:szCs w:val="24"/>
          <w:highlight w:val="none"/>
        </w:rPr>
        <w:t>2</w:t>
      </w:r>
      <w:r>
        <w:rPr>
          <w:rFonts w:hint="eastAsia" w:hAnsi="宋体"/>
          <w:b/>
          <w:color w:val="auto"/>
          <w:sz w:val="24"/>
          <w:szCs w:val="24"/>
          <w:highlight w:val="none"/>
        </w:rPr>
        <w:t>、所提供的相关资料必须真实、一旦发现提供弄虚作假的证明材料，则取消中标资格，并按骗取中标行为通报给主管部门进行处罚。</w:t>
      </w:r>
    </w:p>
    <w:p>
      <w:pPr>
        <w:spacing w:line="360" w:lineRule="auto"/>
        <w:rPr>
          <w:rFonts w:hint="eastAsia" w:hAnsi="宋体"/>
          <w:color w:val="auto"/>
          <w:sz w:val="24"/>
          <w:szCs w:val="24"/>
          <w:highlight w:val="none"/>
        </w:rPr>
      </w:pPr>
      <w:r>
        <w:rPr>
          <w:rFonts w:hAnsi="宋体"/>
          <w:b/>
          <w:color w:val="auto"/>
          <w:sz w:val="24"/>
          <w:szCs w:val="24"/>
          <w:highlight w:val="none"/>
        </w:rPr>
        <w:t>3</w:t>
      </w:r>
      <w:r>
        <w:rPr>
          <w:rFonts w:hint="eastAsia" w:hAnsi="宋体"/>
          <w:b/>
          <w:color w:val="auto"/>
          <w:sz w:val="24"/>
          <w:szCs w:val="24"/>
          <w:highlight w:val="none"/>
        </w:rPr>
        <w:t>、磋商响应文件正本需盖封面和骑缝章，副本可以是已签字盖章好的正本复印件（并加盖封面和骑缝章）。</w:t>
      </w:r>
    </w:p>
    <w:p>
      <w:pPr>
        <w:shd w:val="solid" w:color="FFFFFF" w:fill="auto"/>
        <w:autoSpaceDN w:val="0"/>
        <w:spacing w:line="360" w:lineRule="auto"/>
        <w:ind w:right="482"/>
        <w:rPr>
          <w:rFonts w:hAnsi="宋体"/>
          <w:b/>
          <w:color w:val="auto"/>
          <w:sz w:val="24"/>
          <w:szCs w:val="24"/>
          <w:highlight w:val="none"/>
        </w:rPr>
      </w:pPr>
    </w:p>
    <w:p>
      <w:pPr>
        <w:shd w:val="solid" w:color="FFFFFF" w:fill="auto"/>
        <w:autoSpaceDN w:val="0"/>
        <w:ind w:right="482" w:firstLine="420"/>
        <w:jc w:val="center"/>
        <w:rPr>
          <w:rFonts w:hAnsi="宋体"/>
          <w:b/>
          <w:color w:val="auto"/>
          <w:sz w:val="24"/>
          <w:szCs w:val="24"/>
          <w:highlight w:val="none"/>
          <w:shd w:val="clear" w:color="auto" w:fill="FFFFFF"/>
        </w:rPr>
      </w:pPr>
    </w:p>
    <w:p>
      <w:pPr>
        <w:shd w:val="solid" w:color="FFFFFF" w:fill="auto"/>
        <w:autoSpaceDN w:val="0"/>
        <w:ind w:right="482"/>
        <w:rPr>
          <w:rFonts w:hint="eastAsia" w:hAnsi="宋体"/>
          <w:b/>
          <w:color w:val="auto"/>
          <w:sz w:val="24"/>
          <w:szCs w:val="24"/>
          <w:highlight w:val="none"/>
          <w:shd w:val="clear" w:color="auto" w:fill="FFFFFF"/>
        </w:rPr>
      </w:pPr>
    </w:p>
    <w:p>
      <w:pPr>
        <w:shd w:val="solid" w:color="FFFFFF" w:fill="auto"/>
        <w:autoSpaceDN w:val="0"/>
        <w:ind w:right="482" w:firstLine="420"/>
        <w:jc w:val="center"/>
        <w:rPr>
          <w:rFonts w:hint="eastAsia" w:hAnsi="宋体"/>
          <w:b/>
          <w:color w:val="auto"/>
          <w:sz w:val="24"/>
          <w:szCs w:val="24"/>
          <w:highlight w:val="none"/>
          <w:shd w:val="clear" w:color="auto" w:fill="FFFFFF"/>
        </w:rPr>
      </w:pPr>
    </w:p>
    <w:p>
      <w:pPr>
        <w:shd w:val="solid" w:color="FFFFFF" w:fill="auto"/>
        <w:autoSpaceDN w:val="0"/>
        <w:ind w:right="482" w:firstLine="420"/>
        <w:jc w:val="center"/>
        <w:rPr>
          <w:rFonts w:hint="eastAsia" w:hAnsi="宋体"/>
          <w:b/>
          <w:color w:val="auto"/>
          <w:sz w:val="24"/>
          <w:szCs w:val="24"/>
          <w:highlight w:val="none"/>
          <w:shd w:val="clear" w:color="auto" w:fill="FFFFFF"/>
        </w:rPr>
      </w:pPr>
    </w:p>
    <w:p>
      <w:pPr>
        <w:shd w:val="solid" w:color="FFFFFF" w:fill="auto"/>
        <w:autoSpaceDN w:val="0"/>
        <w:ind w:right="482" w:firstLine="420"/>
        <w:jc w:val="center"/>
        <w:rPr>
          <w:rFonts w:hint="eastAsia" w:hAnsi="宋体"/>
          <w:b/>
          <w:color w:val="auto"/>
          <w:sz w:val="24"/>
          <w:szCs w:val="24"/>
          <w:highlight w:val="none"/>
          <w:shd w:val="clear" w:color="auto" w:fill="FFFFFF"/>
        </w:rPr>
      </w:pPr>
    </w:p>
    <w:p>
      <w:pPr>
        <w:shd w:val="solid" w:color="FFFFFF" w:fill="auto"/>
        <w:autoSpaceDN w:val="0"/>
        <w:ind w:right="482"/>
        <w:rPr>
          <w:rFonts w:hint="eastAsia" w:hAnsi="宋体"/>
          <w:color w:val="auto"/>
          <w:sz w:val="24"/>
          <w:szCs w:val="24"/>
          <w:highlight w:val="none"/>
        </w:rPr>
      </w:pPr>
    </w:p>
    <w:p>
      <w:pPr>
        <w:pStyle w:val="4"/>
        <w:pageBreakBefore/>
        <w:tabs>
          <w:tab w:val="left" w:pos="5580"/>
        </w:tabs>
        <w:spacing w:before="0" w:after="0" w:line="22" w:lineRule="atLeast"/>
        <w:outlineLvl w:val="0"/>
        <w:rPr>
          <w:rFonts w:ascii="宋体" w:hAnsi="宋体" w:eastAsia="宋体"/>
          <w:color w:val="auto"/>
          <w:sz w:val="24"/>
          <w:szCs w:val="24"/>
          <w:highlight w:val="none"/>
        </w:rPr>
      </w:pPr>
      <w:bookmarkStart w:id="90" w:name="_Toc495679416"/>
      <w:bookmarkStart w:id="91" w:name="_Toc183588697"/>
      <w:bookmarkStart w:id="92" w:name="_Toc1800"/>
      <w:r>
        <w:rPr>
          <w:rFonts w:hint="eastAsia" w:ascii="宋体" w:hAnsi="宋体" w:eastAsia="宋体"/>
          <w:color w:val="auto"/>
          <w:sz w:val="24"/>
          <w:szCs w:val="24"/>
          <w:highlight w:val="none"/>
        </w:rPr>
        <w:t>一、</w:t>
      </w:r>
      <w:r>
        <w:rPr>
          <w:rFonts w:ascii="宋体" w:hAnsi="宋体" w:eastAsia="宋体"/>
          <w:color w:val="auto"/>
          <w:sz w:val="24"/>
          <w:szCs w:val="24"/>
          <w:highlight w:val="none"/>
        </w:rPr>
        <w:t xml:space="preserve"> </w:t>
      </w:r>
      <w:bookmarkEnd w:id="90"/>
      <w:bookmarkEnd w:id="91"/>
      <w:r>
        <w:rPr>
          <w:rFonts w:hint="eastAsia" w:ascii="宋体" w:hAnsi="宋体" w:eastAsia="宋体" w:cs="Arial"/>
          <w:color w:val="auto"/>
          <w:sz w:val="24"/>
          <w:szCs w:val="24"/>
          <w:highlight w:val="none"/>
        </w:rPr>
        <w:t>投标函及投标函附录</w:t>
      </w:r>
      <w:bookmarkEnd w:id="92"/>
    </w:p>
    <w:p>
      <w:pPr>
        <w:jc w:val="center"/>
        <w:rPr>
          <w:rFonts w:ascii="黑体" w:eastAsia="黑体"/>
          <w:b/>
          <w:color w:val="auto"/>
          <w:sz w:val="24"/>
          <w:szCs w:val="24"/>
          <w:highlight w:val="none"/>
        </w:rPr>
      </w:pPr>
      <w:r>
        <w:rPr>
          <w:rFonts w:hint="eastAsia" w:ascii="黑体" w:eastAsia="黑体"/>
          <w:b/>
          <w:color w:val="auto"/>
          <w:sz w:val="24"/>
          <w:szCs w:val="24"/>
          <w:highlight w:val="none"/>
        </w:rPr>
        <w:t>（一）投</w:t>
      </w:r>
      <w:r>
        <w:rPr>
          <w:rFonts w:ascii="黑体" w:eastAsia="黑体"/>
          <w:b/>
          <w:color w:val="auto"/>
          <w:sz w:val="24"/>
          <w:szCs w:val="24"/>
          <w:highlight w:val="none"/>
        </w:rPr>
        <w:t xml:space="preserve"> </w:t>
      </w:r>
      <w:r>
        <w:rPr>
          <w:rFonts w:hint="eastAsia" w:ascii="黑体" w:eastAsia="黑体"/>
          <w:b/>
          <w:color w:val="auto"/>
          <w:sz w:val="24"/>
          <w:szCs w:val="24"/>
          <w:highlight w:val="none"/>
        </w:rPr>
        <w:t>标</w:t>
      </w:r>
      <w:r>
        <w:rPr>
          <w:rFonts w:ascii="黑体" w:eastAsia="黑体"/>
          <w:b/>
          <w:color w:val="auto"/>
          <w:sz w:val="24"/>
          <w:szCs w:val="24"/>
          <w:highlight w:val="none"/>
        </w:rPr>
        <w:t xml:space="preserve"> </w:t>
      </w:r>
      <w:r>
        <w:rPr>
          <w:rFonts w:hint="eastAsia" w:ascii="黑体" w:eastAsia="黑体"/>
          <w:b/>
          <w:color w:val="auto"/>
          <w:sz w:val="24"/>
          <w:szCs w:val="24"/>
          <w:highlight w:val="none"/>
        </w:rPr>
        <w:t>函</w:t>
      </w:r>
    </w:p>
    <w:p>
      <w:pPr>
        <w:snapToGrid w:val="0"/>
        <w:spacing w:line="440" w:lineRule="exact"/>
        <w:rPr>
          <w:rFonts w:hint="eastAsia" w:hAnsi="宋体"/>
          <w:color w:val="auto"/>
          <w:sz w:val="24"/>
          <w:szCs w:val="24"/>
          <w:highlight w:val="none"/>
        </w:rPr>
      </w:pPr>
      <w:r>
        <w:rPr>
          <w:rFonts w:hint="eastAsia" w:hAnsi="宋体"/>
          <w:color w:val="auto"/>
          <w:sz w:val="24"/>
          <w:szCs w:val="24"/>
          <w:highlight w:val="none"/>
        </w:rPr>
        <w:t>致：海南和顺项目管理有限公司</w:t>
      </w:r>
    </w:p>
    <w:p>
      <w:pPr>
        <w:snapToGrid w:val="0"/>
        <w:spacing w:line="440" w:lineRule="exact"/>
        <w:ind w:firstLine="480" w:firstLineChars="200"/>
        <w:rPr>
          <w:rFonts w:hAnsi="宋体"/>
          <w:color w:val="auto"/>
          <w:sz w:val="24"/>
          <w:szCs w:val="24"/>
          <w:highlight w:val="none"/>
        </w:rPr>
      </w:pPr>
      <w:r>
        <w:rPr>
          <w:rFonts w:hint="eastAsia" w:hAnsi="宋体"/>
          <w:color w:val="auto"/>
          <w:sz w:val="24"/>
          <w:szCs w:val="24"/>
          <w:highlight w:val="none"/>
        </w:rPr>
        <w:t>贵公司</w:t>
      </w:r>
      <w:r>
        <w:rPr>
          <w:rFonts w:hint="eastAsia" w:hAnsi="宋体"/>
          <w:color w:val="auto"/>
          <w:sz w:val="24"/>
          <w:szCs w:val="24"/>
          <w:highlight w:val="none"/>
          <w:u w:val="single"/>
          <w:lang w:eastAsia="zh-CN"/>
        </w:rPr>
        <w:t>海南省安宁医院2023年度公开招聘编内人员委托服务项目</w:t>
      </w:r>
      <w:r>
        <w:rPr>
          <w:rFonts w:hint="eastAsia" w:hAnsi="宋体"/>
          <w:color w:val="auto"/>
          <w:sz w:val="24"/>
          <w:szCs w:val="24"/>
          <w:highlight w:val="none"/>
          <w:u w:val="single"/>
        </w:rPr>
        <w:t>（</w:t>
      </w:r>
      <w:r>
        <w:rPr>
          <w:rFonts w:hint="eastAsia" w:hAnsi="宋体"/>
          <w:color w:val="auto"/>
          <w:sz w:val="24"/>
          <w:szCs w:val="24"/>
          <w:highlight w:val="none"/>
          <w:u w:val="single"/>
          <w:lang w:eastAsia="zh-CN"/>
        </w:rPr>
        <w:t>HNHS-2024-011</w:t>
      </w:r>
      <w:r>
        <w:rPr>
          <w:rFonts w:hint="eastAsia" w:hAnsi="宋体"/>
          <w:color w:val="auto"/>
          <w:sz w:val="24"/>
          <w:szCs w:val="24"/>
          <w:highlight w:val="none"/>
          <w:u w:val="single"/>
        </w:rPr>
        <w:t>）</w:t>
      </w:r>
      <w:r>
        <w:rPr>
          <w:rFonts w:hint="eastAsia" w:hAnsi="宋体"/>
          <w:color w:val="auto"/>
          <w:sz w:val="24"/>
          <w:szCs w:val="24"/>
          <w:highlight w:val="none"/>
        </w:rPr>
        <w:t>磋商文件（包括更正公告，如有）收悉，我们经详细审阅和研究，现决定参加投标。我方正式授权</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授权代表全名</w:t>
      </w:r>
      <w:r>
        <w:rPr>
          <w:rFonts w:hAnsi="宋体"/>
          <w:color w:val="auto"/>
          <w:sz w:val="24"/>
          <w:szCs w:val="24"/>
          <w:highlight w:val="none"/>
        </w:rPr>
        <w:t xml:space="preserve">, </w:t>
      </w:r>
      <w:r>
        <w:rPr>
          <w:rFonts w:hint="eastAsia" w:hAnsi="宋体"/>
          <w:color w:val="auto"/>
          <w:sz w:val="24"/>
          <w:szCs w:val="24"/>
          <w:highlight w:val="none"/>
        </w:rPr>
        <w:t>职务</w:t>
      </w:r>
      <w:r>
        <w:rPr>
          <w:rFonts w:hAnsi="宋体"/>
          <w:color w:val="auto"/>
          <w:sz w:val="24"/>
          <w:szCs w:val="24"/>
          <w:highlight w:val="none"/>
        </w:rPr>
        <w:t>)</w:t>
      </w:r>
      <w:r>
        <w:rPr>
          <w:rFonts w:hint="eastAsia" w:hAnsi="宋体"/>
          <w:color w:val="auto"/>
          <w:sz w:val="24"/>
          <w:szCs w:val="24"/>
          <w:highlight w:val="none"/>
        </w:rPr>
        <w:t>代表我方进行有关本投标的一切事宜。</w:t>
      </w:r>
    </w:p>
    <w:p>
      <w:pPr>
        <w:snapToGrid w:val="0"/>
        <w:spacing w:line="440" w:lineRule="exact"/>
        <w:ind w:firstLine="480" w:firstLineChars="200"/>
        <w:rPr>
          <w:rFonts w:hAnsi="宋体"/>
          <w:color w:val="auto"/>
          <w:sz w:val="24"/>
          <w:szCs w:val="24"/>
          <w:highlight w:val="none"/>
        </w:rPr>
      </w:pPr>
      <w:r>
        <w:rPr>
          <w:rFonts w:hint="eastAsia" w:hAnsi="宋体"/>
          <w:color w:val="auto"/>
          <w:sz w:val="24"/>
          <w:szCs w:val="24"/>
          <w:highlight w:val="none"/>
        </w:rPr>
        <w:t>在此提交的磋商响应文件</w:t>
      </w:r>
      <w:r>
        <w:rPr>
          <w:rFonts w:hAnsi="宋体"/>
          <w:color w:val="auto"/>
          <w:sz w:val="24"/>
          <w:szCs w:val="24"/>
          <w:highlight w:val="none"/>
        </w:rPr>
        <w:t xml:space="preserve">, </w:t>
      </w:r>
      <w:r>
        <w:rPr>
          <w:rFonts w:hint="eastAsia" w:hAnsi="宋体"/>
          <w:color w:val="auto"/>
          <w:sz w:val="24"/>
          <w:szCs w:val="24"/>
          <w:highlight w:val="none"/>
        </w:rPr>
        <w:t>正本</w:t>
      </w:r>
      <w:r>
        <w:rPr>
          <w:rFonts w:hAnsi="宋体"/>
          <w:color w:val="auto"/>
          <w:sz w:val="24"/>
          <w:szCs w:val="24"/>
          <w:highlight w:val="none"/>
          <w:u w:val="single"/>
        </w:rPr>
        <w:t xml:space="preserve">  </w:t>
      </w:r>
      <w:r>
        <w:rPr>
          <w:rFonts w:hint="eastAsia" w:hAnsi="宋体"/>
          <w:color w:val="auto"/>
          <w:sz w:val="24"/>
          <w:szCs w:val="24"/>
          <w:highlight w:val="none"/>
        </w:rPr>
        <w:t>份</w:t>
      </w:r>
      <w:r>
        <w:rPr>
          <w:rFonts w:hAnsi="宋体"/>
          <w:color w:val="auto"/>
          <w:sz w:val="24"/>
          <w:szCs w:val="24"/>
          <w:highlight w:val="none"/>
        </w:rPr>
        <w:t xml:space="preserve">, </w:t>
      </w:r>
      <w:r>
        <w:rPr>
          <w:rFonts w:hint="eastAsia" w:hAnsi="宋体"/>
          <w:color w:val="auto"/>
          <w:sz w:val="24"/>
          <w:szCs w:val="24"/>
          <w:highlight w:val="none"/>
        </w:rPr>
        <w:t>副本</w:t>
      </w:r>
      <w:r>
        <w:rPr>
          <w:rFonts w:hAnsi="宋体"/>
          <w:color w:val="auto"/>
          <w:sz w:val="24"/>
          <w:szCs w:val="24"/>
          <w:highlight w:val="none"/>
          <w:u w:val="single"/>
        </w:rPr>
        <w:t xml:space="preserve">   </w:t>
      </w:r>
      <w:r>
        <w:rPr>
          <w:rFonts w:hint="eastAsia" w:hAnsi="宋体"/>
          <w:color w:val="auto"/>
          <w:sz w:val="24"/>
          <w:szCs w:val="24"/>
          <w:highlight w:val="none"/>
        </w:rPr>
        <w:t>份，电子版</w:t>
      </w:r>
      <w:r>
        <w:rPr>
          <w:rFonts w:hAnsi="宋体"/>
          <w:color w:val="auto"/>
          <w:sz w:val="24"/>
          <w:szCs w:val="24"/>
          <w:highlight w:val="none"/>
          <w:u w:val="single"/>
        </w:rPr>
        <w:t xml:space="preserve">   </w:t>
      </w:r>
      <w:r>
        <w:rPr>
          <w:rFonts w:hint="eastAsia" w:hAnsi="宋体"/>
          <w:color w:val="auto"/>
          <w:sz w:val="24"/>
          <w:szCs w:val="24"/>
          <w:highlight w:val="none"/>
        </w:rPr>
        <w:t>份，磋商响应文件包括并不限于磋商文件要求的内容。我方已完全明白磋商文件的所有条款要求，并重申以下几点：</w:t>
      </w:r>
    </w:p>
    <w:p>
      <w:pPr>
        <w:snapToGrid w:val="0"/>
        <w:spacing w:line="440" w:lineRule="exact"/>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）我方满足《政府采购法》第二十二款的规定，在法律、财务和运作上符合磋商文件对咨询公司的资格要求，我方承诺提供满足“用户需求书”的相应服务，提交所有文件和全部说明是真实的和正确的。</w:t>
      </w:r>
    </w:p>
    <w:p>
      <w:pPr>
        <w:snapToGrid w:val="0"/>
        <w:spacing w:line="440" w:lineRule="exact"/>
        <w:ind w:firstLine="42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）我们接受磋商文件的所有的条款和规定。</w:t>
      </w:r>
    </w:p>
    <w:p>
      <w:pPr>
        <w:snapToGrid w:val="0"/>
        <w:spacing w:line="440" w:lineRule="exact"/>
        <w:ind w:firstLine="420"/>
        <w:rPr>
          <w:rFonts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3</w:t>
      </w:r>
      <w:r>
        <w:rPr>
          <w:rFonts w:hint="eastAsia" w:hAnsi="宋体"/>
          <w:color w:val="auto"/>
          <w:sz w:val="24"/>
          <w:szCs w:val="24"/>
          <w:highlight w:val="none"/>
        </w:rPr>
        <w:t>）我们同意按照磋商文件第三章“供应商须知前附表”第</w:t>
      </w:r>
      <w:r>
        <w:rPr>
          <w:rFonts w:hAnsi="宋体"/>
          <w:color w:val="auto"/>
          <w:sz w:val="24"/>
          <w:szCs w:val="24"/>
          <w:highlight w:val="none"/>
        </w:rPr>
        <w:t>11</w:t>
      </w:r>
      <w:r>
        <w:rPr>
          <w:rFonts w:hint="eastAsia" w:hAnsi="宋体"/>
          <w:color w:val="auto"/>
          <w:sz w:val="24"/>
          <w:szCs w:val="24"/>
          <w:highlight w:val="none"/>
        </w:rPr>
        <w:t>项的规定，本磋商响应文件的有效期为开标之日起计算的</w:t>
      </w:r>
      <w:r>
        <w:rPr>
          <w:rFonts w:hAnsi="宋体"/>
          <w:color w:val="auto"/>
          <w:sz w:val="24"/>
          <w:szCs w:val="24"/>
          <w:highlight w:val="none"/>
          <w:u w:val="single"/>
        </w:rPr>
        <w:t>60</w:t>
      </w:r>
      <w:r>
        <w:rPr>
          <w:rFonts w:hint="eastAsia" w:hAnsi="宋体"/>
          <w:color w:val="auto"/>
          <w:sz w:val="24"/>
          <w:szCs w:val="24"/>
          <w:highlight w:val="none"/>
        </w:rPr>
        <w:t>天，在此期间，本磋商响应文件将始终对我们具有约束力，并可随时被接受。如果我们中标，本磋商响应文件在此期间之后将继续保持有效。</w:t>
      </w:r>
    </w:p>
    <w:p>
      <w:pPr>
        <w:snapToGrid w:val="0"/>
        <w:spacing w:line="440" w:lineRule="exact"/>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w:t>
      </w:r>
      <w:r>
        <w:rPr>
          <w:rFonts w:hint="eastAsia" w:hAnsi="宋体"/>
          <w:color w:val="auto"/>
          <w:sz w:val="24"/>
          <w:szCs w:val="24"/>
          <w:highlight w:val="none"/>
          <w:lang w:val="en-US" w:eastAsia="zh-CN"/>
        </w:rPr>
        <w:t>4</w:t>
      </w:r>
      <w:r>
        <w:rPr>
          <w:rFonts w:hint="eastAsia" w:hAnsi="宋体"/>
          <w:color w:val="auto"/>
          <w:sz w:val="24"/>
          <w:szCs w:val="24"/>
          <w:highlight w:val="none"/>
        </w:rPr>
        <w:t>）我们同意提供采购人要求的有关本次采购的所有资料。</w:t>
      </w:r>
    </w:p>
    <w:p>
      <w:pPr>
        <w:snapToGrid w:val="0"/>
        <w:spacing w:line="440" w:lineRule="exact"/>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w:t>
      </w:r>
      <w:r>
        <w:rPr>
          <w:rFonts w:hint="eastAsia" w:hAnsi="宋体"/>
          <w:color w:val="auto"/>
          <w:sz w:val="24"/>
          <w:szCs w:val="24"/>
          <w:highlight w:val="none"/>
          <w:lang w:val="en-US" w:eastAsia="zh-CN"/>
        </w:rPr>
        <w:t>5</w:t>
      </w:r>
      <w:r>
        <w:rPr>
          <w:rFonts w:hint="eastAsia" w:hAnsi="宋体"/>
          <w:color w:val="auto"/>
          <w:sz w:val="24"/>
          <w:szCs w:val="24"/>
          <w:highlight w:val="none"/>
        </w:rPr>
        <w:t>）我们理解，你们无义务必须接受投标价最低的投标，并有权拒绝所有的投标。同时也理解你们不承担我们本次投标的费用。</w:t>
      </w:r>
    </w:p>
    <w:p>
      <w:pPr>
        <w:pStyle w:val="10"/>
        <w:tabs>
          <w:tab w:val="left" w:pos="5580"/>
        </w:tabs>
        <w:spacing w:line="440" w:lineRule="exact"/>
        <w:ind w:left="180"/>
        <w:rPr>
          <w:rFonts w:hAnsi="宋体"/>
          <w:color w:val="auto"/>
          <w:sz w:val="24"/>
          <w:szCs w:val="24"/>
          <w:highlight w:val="none"/>
        </w:rPr>
      </w:pPr>
      <w:r>
        <w:rPr>
          <w:rFonts w:hint="eastAsia" w:hAnsi="宋体"/>
          <w:color w:val="auto"/>
          <w:sz w:val="24"/>
          <w:szCs w:val="24"/>
          <w:highlight w:val="none"/>
        </w:rPr>
        <w:t>与本投标有关的一切正式往来信函请寄：</w:t>
      </w:r>
    </w:p>
    <w:p>
      <w:pPr>
        <w:pStyle w:val="10"/>
        <w:tabs>
          <w:tab w:val="left" w:pos="5580"/>
        </w:tabs>
        <w:spacing w:line="500" w:lineRule="exact"/>
        <w:ind w:left="420"/>
        <w:rPr>
          <w:rFonts w:hAnsi="宋体"/>
          <w:color w:val="auto"/>
          <w:sz w:val="24"/>
          <w:szCs w:val="24"/>
          <w:highlight w:val="none"/>
        </w:rPr>
      </w:pPr>
      <w:r>
        <w:rPr>
          <w:rFonts w:hint="eastAsia" w:hAnsi="宋体"/>
          <w:color w:val="auto"/>
          <w:sz w:val="24"/>
          <w:szCs w:val="24"/>
          <w:highlight w:val="none"/>
        </w:rPr>
        <w:t>地址</w:t>
      </w:r>
      <w:r>
        <w:rPr>
          <w:rFonts w:hAnsi="宋体"/>
          <w:color w:val="auto"/>
          <w:sz w:val="24"/>
          <w:szCs w:val="24"/>
          <w:highlight w:val="none"/>
        </w:rPr>
        <w:t xml:space="preserve">_________________________    </w:t>
      </w:r>
      <w:r>
        <w:rPr>
          <w:rFonts w:hint="eastAsia" w:hAnsi="宋体"/>
          <w:color w:val="auto"/>
          <w:sz w:val="24"/>
          <w:szCs w:val="24"/>
          <w:highlight w:val="none"/>
        </w:rPr>
        <w:t>传真</w:t>
      </w:r>
      <w:r>
        <w:rPr>
          <w:rFonts w:hAnsi="宋体"/>
          <w:color w:val="auto"/>
          <w:sz w:val="24"/>
          <w:szCs w:val="24"/>
          <w:highlight w:val="none"/>
        </w:rPr>
        <w:t>____________________________</w:t>
      </w:r>
    </w:p>
    <w:p>
      <w:pPr>
        <w:pStyle w:val="10"/>
        <w:tabs>
          <w:tab w:val="left" w:pos="5580"/>
        </w:tabs>
        <w:spacing w:line="500" w:lineRule="exact"/>
        <w:ind w:left="420"/>
        <w:rPr>
          <w:rFonts w:hAnsi="宋体"/>
          <w:color w:val="auto"/>
          <w:sz w:val="24"/>
          <w:szCs w:val="24"/>
          <w:highlight w:val="none"/>
        </w:rPr>
      </w:pPr>
      <w:r>
        <w:rPr>
          <w:rFonts w:hint="eastAsia" w:hAnsi="宋体"/>
          <w:color w:val="auto"/>
          <w:sz w:val="24"/>
          <w:szCs w:val="24"/>
          <w:highlight w:val="none"/>
        </w:rPr>
        <w:t>电话</w:t>
      </w:r>
      <w:r>
        <w:rPr>
          <w:rFonts w:hAnsi="宋体"/>
          <w:color w:val="auto"/>
          <w:sz w:val="24"/>
          <w:szCs w:val="24"/>
          <w:highlight w:val="none"/>
        </w:rPr>
        <w:t xml:space="preserve">_________________________    </w:t>
      </w:r>
      <w:r>
        <w:rPr>
          <w:rFonts w:hint="eastAsia" w:hAnsi="宋体"/>
          <w:color w:val="auto"/>
          <w:sz w:val="24"/>
          <w:szCs w:val="24"/>
          <w:highlight w:val="none"/>
        </w:rPr>
        <w:t>电子函件</w:t>
      </w:r>
      <w:r>
        <w:rPr>
          <w:rFonts w:hAnsi="宋体"/>
          <w:color w:val="auto"/>
          <w:sz w:val="24"/>
          <w:szCs w:val="24"/>
          <w:highlight w:val="none"/>
        </w:rPr>
        <w:t>________________________</w:t>
      </w:r>
    </w:p>
    <w:p>
      <w:pPr>
        <w:pStyle w:val="10"/>
        <w:tabs>
          <w:tab w:val="left" w:pos="5580"/>
        </w:tabs>
        <w:spacing w:line="500" w:lineRule="exact"/>
        <w:ind w:left="420"/>
        <w:rPr>
          <w:rFonts w:hAnsi="宋体"/>
          <w:color w:val="auto"/>
          <w:sz w:val="24"/>
          <w:szCs w:val="24"/>
          <w:highlight w:val="none"/>
          <w:u w:val="single"/>
        </w:rPr>
      </w:pPr>
      <w:r>
        <w:rPr>
          <w:rFonts w:hint="eastAsia" w:hAnsi="宋体"/>
          <w:color w:val="auto"/>
          <w:sz w:val="24"/>
          <w:szCs w:val="24"/>
          <w:highlight w:val="none"/>
        </w:rPr>
        <w:t>供应商授权代表签字：</w:t>
      </w:r>
    </w:p>
    <w:p>
      <w:pPr>
        <w:pStyle w:val="10"/>
        <w:tabs>
          <w:tab w:val="left" w:pos="5580"/>
        </w:tabs>
        <w:spacing w:line="500" w:lineRule="exact"/>
        <w:ind w:left="420"/>
        <w:rPr>
          <w:rFonts w:hAnsi="宋体"/>
          <w:color w:val="auto"/>
          <w:sz w:val="24"/>
          <w:szCs w:val="24"/>
          <w:highlight w:val="none"/>
        </w:rPr>
      </w:pPr>
      <w:r>
        <w:rPr>
          <w:rFonts w:hint="eastAsia" w:hAnsi="宋体"/>
          <w:color w:val="auto"/>
          <w:sz w:val="24"/>
          <w:szCs w:val="24"/>
          <w:highlight w:val="none"/>
        </w:rPr>
        <w:t>供应商名称（全称）（公章）：</w:t>
      </w:r>
    </w:p>
    <w:p>
      <w:pPr>
        <w:pStyle w:val="10"/>
        <w:tabs>
          <w:tab w:val="left" w:pos="5580"/>
        </w:tabs>
        <w:spacing w:line="500" w:lineRule="exact"/>
        <w:ind w:left="420"/>
        <w:rPr>
          <w:rFonts w:hAnsi="宋体"/>
          <w:color w:val="auto"/>
          <w:sz w:val="24"/>
          <w:szCs w:val="24"/>
          <w:highlight w:val="none"/>
        </w:rPr>
      </w:pPr>
      <w:r>
        <w:rPr>
          <w:rFonts w:hint="eastAsia" w:hAnsi="宋体"/>
          <w:color w:val="auto"/>
          <w:sz w:val="24"/>
          <w:szCs w:val="24"/>
          <w:highlight w:val="none"/>
        </w:rPr>
        <w:t>供应商开户银行（全称）</w:t>
      </w:r>
      <w:r>
        <w:rPr>
          <w:rFonts w:hint="eastAsia" w:hAnsi="宋体"/>
          <w:color w:val="auto"/>
          <w:sz w:val="24"/>
          <w:szCs w:val="24"/>
          <w:highlight w:val="none"/>
          <w:u w:val="single"/>
        </w:rPr>
        <w:t>　　　　　　</w:t>
      </w:r>
      <w:r>
        <w:rPr>
          <w:rFonts w:hAnsi="宋体"/>
          <w:color w:val="auto"/>
          <w:sz w:val="24"/>
          <w:szCs w:val="24"/>
          <w:highlight w:val="none"/>
          <w:u w:val="single"/>
        </w:rPr>
        <w:t xml:space="preserve"> </w:t>
      </w:r>
    </w:p>
    <w:p>
      <w:pPr>
        <w:pStyle w:val="10"/>
        <w:tabs>
          <w:tab w:val="left" w:pos="5580"/>
        </w:tabs>
        <w:spacing w:line="500" w:lineRule="exact"/>
        <w:ind w:left="420"/>
        <w:rPr>
          <w:rFonts w:hAnsi="宋体"/>
          <w:color w:val="auto"/>
          <w:sz w:val="24"/>
          <w:szCs w:val="24"/>
          <w:highlight w:val="none"/>
        </w:rPr>
      </w:pPr>
      <w:r>
        <w:rPr>
          <w:rFonts w:hint="eastAsia" w:hAnsi="宋体"/>
          <w:color w:val="auto"/>
          <w:sz w:val="24"/>
          <w:szCs w:val="24"/>
          <w:highlight w:val="none"/>
        </w:rPr>
        <w:t>供应商银行帐号</w:t>
      </w:r>
      <w:r>
        <w:rPr>
          <w:rFonts w:hint="eastAsia" w:hAnsi="宋体"/>
          <w:color w:val="auto"/>
          <w:sz w:val="24"/>
          <w:szCs w:val="24"/>
          <w:highlight w:val="none"/>
          <w:u w:val="single"/>
        </w:rPr>
        <w:t>　　　　　　　　　　</w:t>
      </w:r>
    </w:p>
    <w:p>
      <w:pPr>
        <w:pStyle w:val="10"/>
        <w:tabs>
          <w:tab w:val="left" w:pos="5580"/>
        </w:tabs>
        <w:spacing w:line="500" w:lineRule="exact"/>
        <w:jc w:val="right"/>
        <w:rPr>
          <w:rFonts w:hAnsi="宋体"/>
          <w:color w:val="auto"/>
          <w:sz w:val="24"/>
          <w:szCs w:val="24"/>
          <w:highlight w:val="none"/>
        </w:rPr>
      </w:pPr>
      <w:r>
        <w:rPr>
          <w:rFonts w:hint="eastAsia" w:hAnsi="宋体"/>
          <w:color w:val="auto"/>
          <w:sz w:val="24"/>
          <w:szCs w:val="24"/>
          <w:highlight w:val="none"/>
        </w:rPr>
        <w:t>日</w:t>
      </w:r>
      <w:r>
        <w:rPr>
          <w:rFonts w:hAnsi="宋体"/>
          <w:color w:val="auto"/>
          <w:sz w:val="24"/>
          <w:szCs w:val="24"/>
          <w:highlight w:val="none"/>
        </w:rPr>
        <w:t xml:space="preserve"> </w:t>
      </w:r>
      <w:r>
        <w:rPr>
          <w:rFonts w:hint="eastAsia" w:hAnsi="宋体"/>
          <w:color w:val="auto"/>
          <w:sz w:val="24"/>
          <w:szCs w:val="24"/>
          <w:highlight w:val="none"/>
        </w:rPr>
        <w:t>期：</w:t>
      </w:r>
      <w:r>
        <w:rPr>
          <w:rFonts w:hAnsi="宋体"/>
          <w:color w:val="auto"/>
          <w:sz w:val="24"/>
          <w:szCs w:val="24"/>
          <w:highlight w:val="none"/>
        </w:rPr>
        <w:t xml:space="preserve">     </w:t>
      </w:r>
      <w:r>
        <w:rPr>
          <w:rFonts w:hint="eastAsia" w:hAnsi="宋体"/>
          <w:color w:val="auto"/>
          <w:sz w:val="24"/>
          <w:szCs w:val="24"/>
          <w:highlight w:val="none"/>
        </w:rPr>
        <w:t>年</w:t>
      </w:r>
      <w:r>
        <w:rPr>
          <w:rFonts w:hAnsi="宋体"/>
          <w:color w:val="auto"/>
          <w:sz w:val="24"/>
          <w:szCs w:val="24"/>
          <w:highlight w:val="none"/>
        </w:rPr>
        <w:t xml:space="preserve">  </w:t>
      </w:r>
      <w:r>
        <w:rPr>
          <w:rFonts w:hint="eastAsia" w:hAnsi="宋体"/>
          <w:color w:val="auto"/>
          <w:sz w:val="24"/>
          <w:szCs w:val="24"/>
          <w:highlight w:val="none"/>
        </w:rPr>
        <w:t>月</w:t>
      </w:r>
      <w:r>
        <w:rPr>
          <w:rFonts w:hAnsi="宋体"/>
          <w:color w:val="auto"/>
          <w:sz w:val="24"/>
          <w:szCs w:val="24"/>
          <w:highlight w:val="none"/>
        </w:rPr>
        <w:t xml:space="preserve">  </w:t>
      </w:r>
      <w:r>
        <w:rPr>
          <w:rFonts w:hint="eastAsia" w:hAnsi="宋体"/>
          <w:color w:val="auto"/>
          <w:sz w:val="24"/>
          <w:szCs w:val="24"/>
          <w:highlight w:val="none"/>
        </w:rPr>
        <w:t>日</w:t>
      </w:r>
    </w:p>
    <w:p>
      <w:pPr>
        <w:pStyle w:val="13"/>
        <w:rPr>
          <w:color w:val="auto"/>
          <w:highlight w:val="none"/>
        </w:rPr>
      </w:pPr>
      <w:r>
        <w:rPr>
          <w:rFonts w:ascii="黑体" w:eastAsia="黑体"/>
          <w:b w:val="0"/>
          <w:color w:val="auto"/>
          <w:sz w:val="24"/>
          <w:szCs w:val="24"/>
          <w:highlight w:val="none"/>
        </w:rPr>
        <w:br w:type="page"/>
      </w:r>
      <w:bookmarkStart w:id="93" w:name="_Toc7197"/>
      <w:r>
        <w:rPr>
          <w:rFonts w:hint="eastAsia" w:ascii="黑体" w:eastAsia="黑体"/>
          <w:b w:val="0"/>
          <w:color w:val="auto"/>
          <w:sz w:val="24"/>
          <w:szCs w:val="24"/>
          <w:highlight w:val="none"/>
        </w:rPr>
        <w:t>（二）</w:t>
      </w:r>
      <w:r>
        <w:rPr>
          <w:rFonts w:hint="eastAsia"/>
          <w:color w:val="auto"/>
          <w:highlight w:val="none"/>
        </w:rPr>
        <w:t>投标人基本情况表</w:t>
      </w:r>
      <w:bookmarkEnd w:id="93"/>
    </w:p>
    <w:tbl>
      <w:tblPr>
        <w:tblStyle w:val="17"/>
        <w:tblW w:w="88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332"/>
        <w:gridCol w:w="1332"/>
        <w:gridCol w:w="397"/>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03"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投标人名称</w:t>
            </w:r>
          </w:p>
        </w:tc>
        <w:tc>
          <w:tcPr>
            <w:tcW w:w="7332" w:type="dxa"/>
            <w:gridSpan w:val="6"/>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03"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联系方式</w:t>
            </w:r>
          </w:p>
        </w:tc>
        <w:tc>
          <w:tcPr>
            <w:tcW w:w="972"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联系人</w:t>
            </w:r>
          </w:p>
        </w:tc>
        <w:tc>
          <w:tcPr>
            <w:tcW w:w="2538" w:type="dxa"/>
            <w:gridSpan w:val="2"/>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c>
          <w:tcPr>
            <w:tcW w:w="1332"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电话</w:t>
            </w:r>
          </w:p>
        </w:tc>
        <w:tc>
          <w:tcPr>
            <w:tcW w:w="2490" w:type="dxa"/>
            <w:gridSpan w:val="2"/>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03"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法定代表人</w:t>
            </w:r>
          </w:p>
        </w:tc>
        <w:tc>
          <w:tcPr>
            <w:tcW w:w="972"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姓名</w:t>
            </w:r>
          </w:p>
        </w:tc>
        <w:tc>
          <w:tcPr>
            <w:tcW w:w="2538" w:type="dxa"/>
            <w:gridSpan w:val="2"/>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c>
          <w:tcPr>
            <w:tcW w:w="1332"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电话</w:t>
            </w:r>
          </w:p>
        </w:tc>
        <w:tc>
          <w:tcPr>
            <w:tcW w:w="2490" w:type="dxa"/>
            <w:gridSpan w:val="2"/>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03"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成立时间</w:t>
            </w:r>
          </w:p>
        </w:tc>
        <w:tc>
          <w:tcPr>
            <w:tcW w:w="2178" w:type="dxa"/>
            <w:gridSpan w:val="2"/>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c>
          <w:tcPr>
            <w:tcW w:w="5154" w:type="dxa"/>
            <w:gridSpan w:val="4"/>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ind w:firstLine="1680" w:firstLineChars="700"/>
              <w:jc w:val="left"/>
              <w:rPr>
                <w:rFonts w:hAnsi="宋体"/>
                <w:color w:val="auto"/>
                <w:highlight w:val="none"/>
                <w:shd w:val="clear" w:color="auto" w:fill="FFFFFF"/>
              </w:rPr>
            </w:pPr>
            <w:r>
              <w:rPr>
                <w:rFonts w:hAnsi="宋体"/>
                <w:color w:val="auto"/>
                <w:sz w:val="24"/>
                <w:highlight w:val="none"/>
                <w:shd w:val="clear" w:color="auto" w:fill="FFFFFF"/>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03"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营业执照号</w:t>
            </w:r>
          </w:p>
        </w:tc>
        <w:tc>
          <w:tcPr>
            <w:tcW w:w="2178" w:type="dxa"/>
            <w:gridSpan w:val="2"/>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c>
          <w:tcPr>
            <w:tcW w:w="3061" w:type="dxa"/>
            <w:gridSpan w:val="3"/>
            <w:vMerge w:val="restart"/>
            <w:shd w:val="solid" w:color="FFFFFF" w:fill="auto"/>
            <w:noWrap w:val="0"/>
            <w:tcMar>
              <w:top w:w="0" w:type="dxa"/>
              <w:left w:w="108" w:type="dxa"/>
              <w:bottom w:w="0" w:type="dxa"/>
              <w:right w:w="108" w:type="dxa"/>
            </w:tcMar>
            <w:vAlign w:val="center"/>
          </w:tcPr>
          <w:p>
            <w:pPr>
              <w:shd w:val="solid" w:color="FFFFFF" w:fill="auto"/>
              <w:autoSpaceDN w:val="0"/>
              <w:spacing w:line="400" w:lineRule="exact"/>
              <w:jc w:val="center"/>
              <w:rPr>
                <w:rFonts w:hAnsi="宋体"/>
                <w:color w:val="auto"/>
                <w:highlight w:val="none"/>
                <w:shd w:val="clear" w:color="auto" w:fill="FFFFFF"/>
              </w:rPr>
            </w:pPr>
            <w:r>
              <w:rPr>
                <w:rFonts w:hint="eastAsia" w:hAnsi="宋体"/>
                <w:color w:val="auto"/>
                <w:sz w:val="24"/>
                <w:highlight w:val="none"/>
                <w:shd w:val="clear" w:color="auto" w:fill="FFFFFF"/>
              </w:rPr>
              <w:t>技术</w:t>
            </w:r>
            <w:r>
              <w:rPr>
                <w:rFonts w:hAnsi="宋体"/>
                <w:color w:val="auto"/>
                <w:sz w:val="24"/>
                <w:highlight w:val="none"/>
                <w:shd w:val="clear" w:color="auto" w:fill="FFFFFF"/>
              </w:rPr>
              <w:t>人员</w:t>
            </w:r>
          </w:p>
        </w:tc>
        <w:tc>
          <w:tcPr>
            <w:tcW w:w="2093" w:type="dxa"/>
            <w:vMerge w:val="restart"/>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03" w:type="dxa"/>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注册资金</w:t>
            </w:r>
          </w:p>
        </w:tc>
        <w:tc>
          <w:tcPr>
            <w:tcW w:w="2178" w:type="dxa"/>
            <w:gridSpan w:val="2"/>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c>
          <w:tcPr>
            <w:tcW w:w="3061" w:type="dxa"/>
            <w:gridSpan w:val="3"/>
            <w:vMerge w:val="continue"/>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c>
          <w:tcPr>
            <w:tcW w:w="2093" w:type="dxa"/>
            <w:vMerge w:val="continue"/>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rFonts w:hAnsi="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03" w:type="dxa"/>
            <w:shd w:val="solid" w:color="FFFFFF" w:fill="auto"/>
            <w:noWrap w:val="0"/>
            <w:tcMar>
              <w:top w:w="0" w:type="dxa"/>
              <w:left w:w="108" w:type="dxa"/>
              <w:bottom w:w="0" w:type="dxa"/>
              <w:right w:w="108" w:type="dxa"/>
            </w:tcMar>
            <w:vAlign w:val="top"/>
          </w:tcPr>
          <w:p>
            <w:pPr>
              <w:widowControl/>
              <w:shd w:val="solid" w:color="FFFFFF" w:fill="auto"/>
              <w:autoSpaceDN w:val="0"/>
              <w:spacing w:line="400" w:lineRule="exact"/>
              <w:jc w:val="center"/>
              <w:rPr>
                <w:rFonts w:hAnsi="宋体"/>
                <w:color w:val="auto"/>
                <w:highlight w:val="none"/>
                <w:shd w:val="clear" w:color="auto" w:fill="FFFFFF"/>
              </w:rPr>
            </w:pPr>
            <w:r>
              <w:rPr>
                <w:rFonts w:hAnsi="宋体"/>
                <w:color w:val="auto"/>
                <w:sz w:val="24"/>
                <w:highlight w:val="none"/>
                <w:shd w:val="clear" w:color="auto" w:fill="FFFFFF"/>
              </w:rPr>
              <w:t>备注</w:t>
            </w:r>
          </w:p>
        </w:tc>
        <w:tc>
          <w:tcPr>
            <w:tcW w:w="7332" w:type="dxa"/>
            <w:gridSpan w:val="6"/>
            <w:shd w:val="solid" w:color="FFFFFF" w:fill="auto"/>
            <w:noWrap w:val="0"/>
            <w:tcMar>
              <w:top w:w="0" w:type="dxa"/>
              <w:left w:w="108" w:type="dxa"/>
              <w:bottom w:w="0" w:type="dxa"/>
              <w:right w:w="108" w:type="dxa"/>
            </w:tcMar>
            <w:vAlign w:val="top"/>
          </w:tcPr>
          <w:p>
            <w:pPr>
              <w:widowControl/>
              <w:shd w:val="solid" w:color="FFFFFF" w:fill="auto"/>
              <w:autoSpaceDN w:val="0"/>
              <w:spacing w:line="400" w:lineRule="exact"/>
              <w:jc w:val="left"/>
              <w:rPr>
                <w:rFonts w:hAnsi="宋体"/>
                <w:color w:val="auto"/>
                <w:highlight w:val="none"/>
                <w:shd w:val="clear" w:color="auto" w:fill="FFFFFF"/>
              </w:rPr>
            </w:pPr>
          </w:p>
        </w:tc>
      </w:tr>
    </w:tbl>
    <w:p>
      <w:pPr>
        <w:widowControl/>
        <w:shd w:val="solid" w:color="FFFFFF" w:fill="auto"/>
        <w:autoSpaceDN w:val="0"/>
        <w:jc w:val="left"/>
        <w:rPr>
          <w:rFonts w:hAnsi="宋体"/>
          <w:b/>
          <w:color w:val="auto"/>
          <w:sz w:val="24"/>
          <w:szCs w:val="24"/>
          <w:highlight w:val="none"/>
          <w:shd w:val="clear" w:color="auto" w:fill="FFFFFF"/>
        </w:rPr>
      </w:pPr>
      <w:r>
        <w:rPr>
          <w:rFonts w:hint="eastAsia" w:hAnsi="宋体"/>
          <w:b/>
          <w:color w:val="auto"/>
          <w:sz w:val="24"/>
          <w:szCs w:val="24"/>
          <w:highlight w:val="none"/>
          <w:shd w:val="clear" w:color="auto" w:fill="FFFFFF"/>
        </w:rPr>
        <w:t>附：投标人的营业执照副本复印件、税务登记证副本复印件、组织机构代码证副本复印件或三证合一（一证一照）的新证复印件。</w:t>
      </w:r>
    </w:p>
    <w:p>
      <w:pPr>
        <w:widowControl/>
        <w:shd w:val="solid" w:color="FFFFFF" w:fill="auto"/>
        <w:autoSpaceDN w:val="0"/>
        <w:jc w:val="left"/>
        <w:rPr>
          <w:rFonts w:hAnsi="宋体"/>
          <w:b/>
          <w:color w:val="auto"/>
          <w:sz w:val="24"/>
          <w:szCs w:val="24"/>
          <w:highlight w:val="none"/>
          <w:shd w:val="clear" w:color="auto" w:fill="FFFFFF"/>
        </w:rPr>
      </w:pPr>
    </w:p>
    <w:p>
      <w:pPr>
        <w:widowControl/>
        <w:shd w:val="solid" w:color="FFFFFF" w:fill="auto"/>
        <w:autoSpaceDN w:val="0"/>
        <w:spacing w:line="480" w:lineRule="auto"/>
        <w:ind w:firstLine="240" w:firstLineChars="100"/>
        <w:jc w:val="left"/>
        <w:rPr>
          <w:rFonts w:hAnsi="宋体"/>
          <w:color w:val="auto"/>
          <w:highlight w:val="none"/>
          <w:shd w:val="clear" w:color="auto" w:fill="FFFFFF"/>
        </w:rPr>
      </w:pPr>
      <w:r>
        <w:rPr>
          <w:rFonts w:hAnsi="宋体"/>
          <w:color w:val="auto"/>
          <w:sz w:val="24"/>
          <w:highlight w:val="none"/>
          <w:shd w:val="clear" w:color="auto" w:fill="FFFFFF"/>
        </w:rPr>
        <w:t>投标人名称：        （盖章）</w:t>
      </w:r>
    </w:p>
    <w:p>
      <w:pPr>
        <w:widowControl/>
        <w:shd w:val="solid" w:color="FFFFFF" w:fill="auto"/>
        <w:autoSpaceDN w:val="0"/>
        <w:spacing w:line="480" w:lineRule="auto"/>
        <w:ind w:firstLine="240" w:firstLineChars="100"/>
        <w:jc w:val="left"/>
        <w:rPr>
          <w:rFonts w:hAnsi="宋体"/>
          <w:color w:val="auto"/>
          <w:highlight w:val="none"/>
          <w:shd w:val="clear" w:color="auto" w:fill="FFFFFF"/>
        </w:rPr>
      </w:pPr>
      <w:r>
        <w:rPr>
          <w:rFonts w:hAnsi="宋体"/>
          <w:color w:val="auto"/>
          <w:sz w:val="24"/>
          <w:highlight w:val="none"/>
          <w:shd w:val="clear" w:color="auto" w:fill="FFFFFF"/>
        </w:rPr>
        <w:t>法定代表人或授权代表（签字）：</w:t>
      </w:r>
    </w:p>
    <w:p>
      <w:pPr>
        <w:widowControl/>
        <w:shd w:val="solid" w:color="FFFFFF" w:fill="auto"/>
        <w:autoSpaceDN w:val="0"/>
        <w:spacing w:line="480" w:lineRule="auto"/>
        <w:ind w:firstLine="240" w:firstLineChars="100"/>
        <w:jc w:val="left"/>
        <w:rPr>
          <w:rFonts w:hAnsi="宋体"/>
          <w:color w:val="auto"/>
          <w:highlight w:val="none"/>
          <w:shd w:val="clear" w:color="auto" w:fill="FFFFFF"/>
        </w:rPr>
      </w:pPr>
      <w:r>
        <w:rPr>
          <w:rFonts w:hAnsi="宋体"/>
          <w:color w:val="auto"/>
          <w:sz w:val="24"/>
          <w:highlight w:val="none"/>
          <w:shd w:val="clear" w:color="auto" w:fill="FFFFFF"/>
        </w:rPr>
        <w:t>投标日期:</w:t>
      </w: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jc w:val="center"/>
        <w:rPr>
          <w:rFonts w:hint="eastAsia" w:ascii="黑体" w:eastAsia="黑体"/>
          <w:b/>
          <w:color w:val="auto"/>
          <w:sz w:val="24"/>
          <w:szCs w:val="24"/>
          <w:highlight w:val="none"/>
        </w:rPr>
      </w:pPr>
    </w:p>
    <w:p>
      <w:pPr>
        <w:rPr>
          <w:rFonts w:ascii="黑体" w:eastAsia="黑体"/>
          <w:b/>
          <w:color w:val="auto"/>
          <w:sz w:val="24"/>
          <w:szCs w:val="24"/>
          <w:highlight w:val="none"/>
        </w:rPr>
      </w:pPr>
    </w:p>
    <w:p>
      <w:pPr>
        <w:pStyle w:val="4"/>
        <w:pageBreakBefore/>
        <w:tabs>
          <w:tab w:val="left" w:pos="5580"/>
        </w:tabs>
        <w:spacing w:line="22" w:lineRule="atLeast"/>
        <w:jc w:val="center"/>
        <w:outlineLvl w:val="0"/>
        <w:rPr>
          <w:rFonts w:ascii="宋体" w:hAnsi="宋体"/>
          <w:color w:val="auto"/>
          <w:sz w:val="28"/>
          <w:szCs w:val="28"/>
          <w:highlight w:val="none"/>
        </w:rPr>
      </w:pPr>
      <w:bookmarkStart w:id="94" w:name="_Toc3372"/>
      <w:r>
        <w:rPr>
          <w:rFonts w:hint="eastAsia" w:ascii="宋体" w:hAnsi="宋体"/>
          <w:color w:val="auto"/>
          <w:sz w:val="28"/>
          <w:szCs w:val="28"/>
          <w:highlight w:val="none"/>
        </w:rPr>
        <w:t>二、报价一览表</w:t>
      </w:r>
      <w:r>
        <w:rPr>
          <w:rFonts w:hint="eastAsia" w:ascii="宋体" w:hAnsi="宋体"/>
          <w:color w:val="auto"/>
          <w:sz w:val="28"/>
          <w:szCs w:val="28"/>
          <w:highlight w:val="none"/>
        </w:rPr>
        <w:cr/>
      </w:r>
      <w:bookmarkEnd w:id="94"/>
    </w:p>
    <w:tbl>
      <w:tblPr>
        <w:tblStyle w:val="17"/>
        <w:tblW w:w="9662" w:type="dxa"/>
        <w:jc w:val="center"/>
        <w:tblLayout w:type="fixed"/>
        <w:tblCellMar>
          <w:top w:w="0" w:type="dxa"/>
          <w:left w:w="108" w:type="dxa"/>
          <w:bottom w:w="0" w:type="dxa"/>
          <w:right w:w="108" w:type="dxa"/>
        </w:tblCellMar>
      </w:tblPr>
      <w:tblGrid>
        <w:gridCol w:w="2242"/>
        <w:gridCol w:w="7420"/>
      </w:tblGrid>
      <w:tr>
        <w:tblPrEx>
          <w:tblCellMar>
            <w:top w:w="0" w:type="dxa"/>
            <w:left w:w="108" w:type="dxa"/>
            <w:bottom w:w="0" w:type="dxa"/>
            <w:right w:w="108" w:type="dxa"/>
          </w:tblCellMar>
        </w:tblPrEx>
        <w:trPr>
          <w:trHeight w:val="685" w:hRule="atLeast"/>
          <w:jc w:val="center"/>
        </w:trPr>
        <w:tc>
          <w:tcPr>
            <w:tcW w:w="2242" w:type="dxa"/>
            <w:tcBorders>
              <w:top w:val="single" w:color="auto" w:sz="8" w:space="0"/>
              <w:left w:val="single" w:color="auto" w:sz="8" w:space="0"/>
              <w:bottom w:val="single" w:color="auto" w:sz="8" w:space="0"/>
              <w:right w:val="single" w:color="auto" w:sz="4" w:space="0"/>
            </w:tcBorders>
            <w:noWrap w:val="0"/>
            <w:vAlign w:val="center"/>
          </w:tcPr>
          <w:p>
            <w:pPr>
              <w:widowControl/>
              <w:shd w:val="clear" w:color="auto" w:fill="auto"/>
              <w:jc w:val="left"/>
              <w:rPr>
                <w:rFonts w:hAnsi="宋体" w:cs="宋体"/>
                <w:b/>
                <w:bCs/>
                <w:color w:val="auto"/>
                <w:sz w:val="22"/>
                <w:szCs w:val="22"/>
                <w:highlight w:val="none"/>
              </w:rPr>
            </w:pPr>
            <w:r>
              <w:rPr>
                <w:rFonts w:hint="eastAsia" w:hAnsi="宋体" w:cs="宋体"/>
                <w:b/>
                <w:bCs/>
                <w:color w:val="auto"/>
                <w:sz w:val="22"/>
                <w:szCs w:val="22"/>
                <w:highlight w:val="none"/>
              </w:rPr>
              <w:t>项目名称</w:t>
            </w:r>
          </w:p>
        </w:tc>
        <w:tc>
          <w:tcPr>
            <w:tcW w:w="7420" w:type="dxa"/>
            <w:tcBorders>
              <w:top w:val="single" w:color="auto" w:sz="8" w:space="0"/>
              <w:left w:val="single" w:color="auto" w:sz="4" w:space="0"/>
              <w:bottom w:val="single" w:color="auto" w:sz="8" w:space="0"/>
              <w:right w:val="single" w:color="000000" w:sz="8" w:space="0"/>
            </w:tcBorders>
            <w:noWrap w:val="0"/>
            <w:vAlign w:val="center"/>
          </w:tcPr>
          <w:p>
            <w:pPr>
              <w:shd w:val="clear" w:color="auto" w:fill="auto"/>
              <w:ind w:left="1357"/>
              <w:jc w:val="left"/>
              <w:rPr>
                <w:rFonts w:hAnsi="宋体" w:cs="宋体"/>
                <w:b/>
                <w:bCs/>
                <w:color w:val="auto"/>
                <w:sz w:val="22"/>
                <w:szCs w:val="22"/>
                <w:highlight w:val="none"/>
                <w:u w:val="single"/>
              </w:rPr>
            </w:pPr>
          </w:p>
        </w:tc>
      </w:tr>
      <w:tr>
        <w:tblPrEx>
          <w:tblCellMar>
            <w:top w:w="0" w:type="dxa"/>
            <w:left w:w="108" w:type="dxa"/>
            <w:bottom w:w="0" w:type="dxa"/>
            <w:right w:w="108" w:type="dxa"/>
          </w:tblCellMar>
        </w:tblPrEx>
        <w:trPr>
          <w:trHeight w:val="685" w:hRule="atLeast"/>
          <w:jc w:val="center"/>
        </w:trPr>
        <w:tc>
          <w:tcPr>
            <w:tcW w:w="2242" w:type="dxa"/>
            <w:tcBorders>
              <w:top w:val="single" w:color="auto" w:sz="8" w:space="0"/>
              <w:left w:val="single" w:color="auto" w:sz="8" w:space="0"/>
              <w:bottom w:val="single" w:color="auto" w:sz="8" w:space="0"/>
              <w:right w:val="single" w:color="auto" w:sz="4" w:space="0"/>
            </w:tcBorders>
            <w:noWrap w:val="0"/>
            <w:vAlign w:val="center"/>
          </w:tcPr>
          <w:p>
            <w:pPr>
              <w:widowControl/>
              <w:shd w:val="clear" w:color="auto" w:fill="auto"/>
              <w:jc w:val="left"/>
              <w:rPr>
                <w:rFonts w:hint="default"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项目编号</w:t>
            </w:r>
          </w:p>
        </w:tc>
        <w:tc>
          <w:tcPr>
            <w:tcW w:w="7420" w:type="dxa"/>
            <w:tcBorders>
              <w:top w:val="single" w:color="auto" w:sz="8" w:space="0"/>
              <w:left w:val="single" w:color="auto" w:sz="4" w:space="0"/>
              <w:bottom w:val="single" w:color="auto" w:sz="8" w:space="0"/>
              <w:right w:val="single" w:color="000000" w:sz="8" w:space="0"/>
            </w:tcBorders>
            <w:noWrap w:val="0"/>
            <w:vAlign w:val="center"/>
          </w:tcPr>
          <w:p>
            <w:pPr>
              <w:shd w:val="clear" w:color="auto" w:fill="auto"/>
              <w:ind w:left="1357"/>
              <w:jc w:val="left"/>
              <w:rPr>
                <w:rFonts w:hAnsi="宋体" w:cs="宋体"/>
                <w:b/>
                <w:bCs/>
                <w:color w:val="auto"/>
                <w:sz w:val="22"/>
                <w:szCs w:val="22"/>
                <w:highlight w:val="none"/>
                <w:u w:val="single"/>
              </w:rPr>
            </w:pPr>
          </w:p>
        </w:tc>
      </w:tr>
      <w:tr>
        <w:tblPrEx>
          <w:tblCellMar>
            <w:top w:w="0" w:type="dxa"/>
            <w:left w:w="108" w:type="dxa"/>
            <w:bottom w:w="0" w:type="dxa"/>
            <w:right w:w="108" w:type="dxa"/>
          </w:tblCellMar>
        </w:tblPrEx>
        <w:trPr>
          <w:trHeight w:val="685" w:hRule="atLeast"/>
          <w:jc w:val="center"/>
        </w:trPr>
        <w:tc>
          <w:tcPr>
            <w:tcW w:w="2242" w:type="dxa"/>
            <w:tcBorders>
              <w:top w:val="single" w:color="auto" w:sz="8" w:space="0"/>
              <w:left w:val="single" w:color="auto" w:sz="8" w:space="0"/>
              <w:bottom w:val="single" w:color="auto" w:sz="8" w:space="0"/>
              <w:right w:val="single" w:color="auto" w:sz="4" w:space="0"/>
            </w:tcBorders>
            <w:noWrap w:val="0"/>
            <w:vAlign w:val="center"/>
          </w:tcPr>
          <w:p>
            <w:pPr>
              <w:widowControl/>
              <w:shd w:val="clear" w:color="auto" w:fill="auto"/>
              <w:jc w:val="left"/>
              <w:rPr>
                <w:rFonts w:hint="default" w:hAnsi="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包号</w:t>
            </w:r>
          </w:p>
        </w:tc>
        <w:tc>
          <w:tcPr>
            <w:tcW w:w="7420" w:type="dxa"/>
            <w:tcBorders>
              <w:top w:val="single" w:color="auto" w:sz="8" w:space="0"/>
              <w:left w:val="single" w:color="auto" w:sz="4" w:space="0"/>
              <w:bottom w:val="single" w:color="auto" w:sz="8" w:space="0"/>
              <w:right w:val="single" w:color="000000" w:sz="8" w:space="0"/>
            </w:tcBorders>
            <w:noWrap w:val="0"/>
            <w:vAlign w:val="center"/>
          </w:tcPr>
          <w:p>
            <w:pPr>
              <w:shd w:val="clear" w:color="auto" w:fill="auto"/>
              <w:ind w:left="1357"/>
              <w:jc w:val="left"/>
              <w:rPr>
                <w:rFonts w:hAnsi="宋体" w:cs="宋体"/>
                <w:b/>
                <w:bCs/>
                <w:color w:val="auto"/>
                <w:sz w:val="22"/>
                <w:szCs w:val="22"/>
                <w:highlight w:val="none"/>
                <w:u w:val="single"/>
              </w:rPr>
            </w:pPr>
          </w:p>
        </w:tc>
      </w:tr>
      <w:tr>
        <w:tblPrEx>
          <w:tblCellMar>
            <w:top w:w="0" w:type="dxa"/>
            <w:left w:w="108" w:type="dxa"/>
            <w:bottom w:w="0" w:type="dxa"/>
            <w:right w:w="108" w:type="dxa"/>
          </w:tblCellMar>
        </w:tblPrEx>
        <w:trPr>
          <w:trHeight w:val="685" w:hRule="atLeast"/>
          <w:jc w:val="center"/>
        </w:trPr>
        <w:tc>
          <w:tcPr>
            <w:tcW w:w="2242" w:type="dxa"/>
            <w:tcBorders>
              <w:top w:val="single" w:color="auto" w:sz="8" w:space="0"/>
              <w:left w:val="single" w:color="auto" w:sz="8" w:space="0"/>
              <w:bottom w:val="single" w:color="auto" w:sz="8" w:space="0"/>
              <w:right w:val="single" w:color="auto" w:sz="4" w:space="0"/>
            </w:tcBorders>
            <w:noWrap w:val="0"/>
            <w:vAlign w:val="center"/>
          </w:tcPr>
          <w:p>
            <w:pPr>
              <w:widowControl/>
              <w:shd w:val="clear" w:color="auto" w:fill="auto"/>
              <w:jc w:val="left"/>
              <w:rPr>
                <w:rFonts w:hAnsi="宋体" w:cs="宋体"/>
                <w:b/>
                <w:bCs/>
                <w:color w:val="auto"/>
                <w:sz w:val="22"/>
                <w:szCs w:val="22"/>
                <w:highlight w:val="none"/>
              </w:rPr>
            </w:pPr>
            <w:r>
              <w:rPr>
                <w:rFonts w:hint="eastAsia" w:hAnsi="宋体" w:cs="宋体"/>
                <w:b/>
                <w:bCs/>
                <w:color w:val="auto"/>
                <w:sz w:val="22"/>
                <w:szCs w:val="22"/>
                <w:highlight w:val="none"/>
              </w:rPr>
              <w:t xml:space="preserve">投标总报价 </w:t>
            </w:r>
          </w:p>
        </w:tc>
        <w:tc>
          <w:tcPr>
            <w:tcW w:w="7420" w:type="dxa"/>
            <w:tcBorders>
              <w:top w:val="single" w:color="auto" w:sz="8" w:space="0"/>
              <w:left w:val="single" w:color="auto" w:sz="4" w:space="0"/>
              <w:bottom w:val="single" w:color="auto" w:sz="8" w:space="0"/>
              <w:right w:val="single" w:color="000000" w:sz="8" w:space="0"/>
            </w:tcBorders>
            <w:noWrap w:val="0"/>
            <w:vAlign w:val="center"/>
          </w:tcPr>
          <w:p>
            <w:pPr>
              <w:widowControl/>
              <w:shd w:val="clear" w:color="auto" w:fill="auto"/>
              <w:ind w:firstLine="1546" w:firstLineChars="700"/>
              <w:jc w:val="left"/>
              <w:rPr>
                <w:rFonts w:hAnsi="宋体" w:cs="宋体"/>
                <w:b/>
                <w:bCs/>
                <w:color w:val="auto"/>
                <w:sz w:val="22"/>
                <w:szCs w:val="22"/>
                <w:highlight w:val="none"/>
              </w:rPr>
            </w:pPr>
          </w:p>
          <w:p>
            <w:pPr>
              <w:widowControl/>
              <w:shd w:val="clear" w:color="auto" w:fill="auto"/>
              <w:jc w:val="left"/>
              <w:rPr>
                <w:rFonts w:hAnsi="宋体" w:cs="宋体"/>
                <w:b/>
                <w:bCs/>
                <w:color w:val="auto"/>
                <w:sz w:val="22"/>
                <w:szCs w:val="22"/>
                <w:highlight w:val="none"/>
              </w:rPr>
            </w:pPr>
            <w:r>
              <w:rPr>
                <w:rFonts w:hint="eastAsia" w:hAnsi="宋体" w:cs="宋体"/>
                <w:b/>
                <w:bCs/>
                <w:color w:val="auto"/>
                <w:sz w:val="22"/>
                <w:szCs w:val="22"/>
                <w:highlight w:val="none"/>
              </w:rPr>
              <w:t>大写：</w:t>
            </w:r>
          </w:p>
          <w:p>
            <w:pPr>
              <w:widowControl/>
              <w:shd w:val="clear" w:color="auto" w:fill="auto"/>
              <w:ind w:firstLine="1546" w:firstLineChars="700"/>
              <w:jc w:val="left"/>
              <w:rPr>
                <w:rFonts w:hAnsi="宋体" w:cs="宋体"/>
                <w:b/>
                <w:bCs/>
                <w:color w:val="auto"/>
                <w:sz w:val="22"/>
                <w:szCs w:val="22"/>
                <w:highlight w:val="none"/>
              </w:rPr>
            </w:pPr>
          </w:p>
          <w:p>
            <w:pPr>
              <w:widowControl/>
              <w:shd w:val="clear" w:color="auto" w:fill="auto"/>
              <w:jc w:val="left"/>
              <w:rPr>
                <w:rFonts w:hAnsi="宋体" w:cs="宋体"/>
                <w:b/>
                <w:bCs/>
                <w:color w:val="auto"/>
                <w:sz w:val="22"/>
                <w:szCs w:val="22"/>
                <w:highlight w:val="none"/>
              </w:rPr>
            </w:pPr>
            <w:r>
              <w:rPr>
                <w:rFonts w:hint="eastAsia" w:hAnsi="宋体" w:cs="宋体"/>
                <w:b/>
                <w:bCs/>
                <w:color w:val="auto"/>
                <w:sz w:val="22"/>
                <w:szCs w:val="22"/>
                <w:highlight w:val="none"/>
              </w:rPr>
              <w:t>小写：</w:t>
            </w:r>
          </w:p>
          <w:p>
            <w:pPr>
              <w:widowControl/>
              <w:shd w:val="clear" w:color="auto" w:fill="auto"/>
              <w:ind w:firstLine="1546" w:firstLineChars="700"/>
              <w:jc w:val="left"/>
              <w:rPr>
                <w:rFonts w:hAnsi="宋体" w:cs="宋体"/>
                <w:b/>
                <w:bCs/>
                <w:color w:val="auto"/>
                <w:sz w:val="22"/>
                <w:szCs w:val="22"/>
                <w:highlight w:val="none"/>
              </w:rPr>
            </w:pPr>
          </w:p>
        </w:tc>
      </w:tr>
      <w:tr>
        <w:tblPrEx>
          <w:tblCellMar>
            <w:top w:w="0" w:type="dxa"/>
            <w:left w:w="108" w:type="dxa"/>
            <w:bottom w:w="0" w:type="dxa"/>
            <w:right w:w="108" w:type="dxa"/>
          </w:tblCellMar>
        </w:tblPrEx>
        <w:trPr>
          <w:trHeight w:val="690" w:hRule="atLeast"/>
          <w:jc w:val="center"/>
        </w:trPr>
        <w:tc>
          <w:tcPr>
            <w:tcW w:w="2242" w:type="dxa"/>
            <w:tcBorders>
              <w:top w:val="single" w:color="auto" w:sz="8" w:space="0"/>
              <w:left w:val="single" w:color="auto" w:sz="8" w:space="0"/>
              <w:bottom w:val="single" w:color="auto" w:sz="8" w:space="0"/>
              <w:right w:val="single" w:color="auto" w:sz="4" w:space="0"/>
            </w:tcBorders>
            <w:noWrap w:val="0"/>
            <w:vAlign w:val="center"/>
          </w:tcPr>
          <w:p>
            <w:pPr>
              <w:widowControl/>
              <w:shd w:val="clear" w:color="auto" w:fill="auto"/>
              <w:jc w:val="left"/>
              <w:rPr>
                <w:rFonts w:hint="eastAsia" w:hAnsi="宋体" w:eastAsia="宋体" w:cs="宋体"/>
                <w:b/>
                <w:bCs/>
                <w:color w:val="auto"/>
                <w:sz w:val="22"/>
                <w:szCs w:val="22"/>
                <w:highlight w:val="none"/>
                <w:lang w:eastAsia="zh-CN"/>
              </w:rPr>
            </w:pPr>
            <w:r>
              <w:rPr>
                <w:rFonts w:hint="eastAsia" w:hAnsi="宋体" w:eastAsia="宋体" w:cs="宋体"/>
                <w:b/>
                <w:bCs/>
                <w:color w:val="auto"/>
                <w:sz w:val="22"/>
                <w:szCs w:val="22"/>
                <w:highlight w:val="none"/>
                <w:lang w:eastAsia="zh-CN"/>
              </w:rPr>
              <w:t>合同履行期限（服务期）</w:t>
            </w:r>
          </w:p>
        </w:tc>
        <w:tc>
          <w:tcPr>
            <w:tcW w:w="7420" w:type="dxa"/>
            <w:tcBorders>
              <w:top w:val="single" w:color="auto" w:sz="8" w:space="0"/>
              <w:left w:val="single" w:color="auto" w:sz="4" w:space="0"/>
              <w:bottom w:val="single" w:color="auto" w:sz="8" w:space="0"/>
              <w:right w:val="single" w:color="000000" w:sz="8" w:space="0"/>
            </w:tcBorders>
            <w:noWrap w:val="0"/>
            <w:vAlign w:val="center"/>
          </w:tcPr>
          <w:p>
            <w:pPr>
              <w:widowControl/>
              <w:shd w:val="clear" w:color="auto" w:fill="auto"/>
              <w:jc w:val="left"/>
              <w:rPr>
                <w:rFonts w:hAnsi="宋体" w:cs="宋体"/>
                <w:b/>
                <w:bCs/>
                <w:color w:val="auto"/>
                <w:sz w:val="22"/>
                <w:szCs w:val="22"/>
                <w:highlight w:val="none"/>
              </w:rPr>
            </w:pPr>
          </w:p>
        </w:tc>
      </w:tr>
      <w:tr>
        <w:tblPrEx>
          <w:tblCellMar>
            <w:top w:w="0" w:type="dxa"/>
            <w:left w:w="108" w:type="dxa"/>
            <w:bottom w:w="0" w:type="dxa"/>
            <w:right w:w="108" w:type="dxa"/>
          </w:tblCellMar>
        </w:tblPrEx>
        <w:trPr>
          <w:trHeight w:val="690" w:hRule="atLeast"/>
          <w:jc w:val="center"/>
        </w:trPr>
        <w:tc>
          <w:tcPr>
            <w:tcW w:w="2242" w:type="dxa"/>
            <w:tcBorders>
              <w:top w:val="single" w:color="auto" w:sz="8" w:space="0"/>
              <w:left w:val="single" w:color="auto" w:sz="8" w:space="0"/>
              <w:bottom w:val="single" w:color="auto" w:sz="8" w:space="0"/>
              <w:right w:val="single" w:color="auto" w:sz="4" w:space="0"/>
            </w:tcBorders>
            <w:noWrap w:val="0"/>
            <w:vAlign w:val="center"/>
          </w:tcPr>
          <w:p>
            <w:pPr>
              <w:widowControl/>
              <w:shd w:val="clear" w:color="auto" w:fill="auto"/>
              <w:jc w:val="left"/>
              <w:rPr>
                <w:rFonts w:hint="default" w:hAnsi="宋体" w:cs="宋体"/>
                <w:b/>
                <w:bCs/>
                <w:color w:val="auto"/>
                <w:sz w:val="22"/>
                <w:szCs w:val="22"/>
                <w:highlight w:val="none"/>
                <w:lang w:val="en-US" w:eastAsia="zh-CN"/>
              </w:rPr>
            </w:pPr>
            <w:r>
              <w:rPr>
                <w:rFonts w:hint="default" w:hAnsi="宋体" w:cs="宋体"/>
                <w:b/>
                <w:bCs/>
                <w:color w:val="auto"/>
                <w:sz w:val="22"/>
                <w:szCs w:val="22"/>
                <w:highlight w:val="none"/>
                <w:lang w:val="en-US" w:eastAsia="zh-CN"/>
              </w:rPr>
              <w:t>服务地点</w:t>
            </w:r>
          </w:p>
        </w:tc>
        <w:tc>
          <w:tcPr>
            <w:tcW w:w="7420" w:type="dxa"/>
            <w:tcBorders>
              <w:top w:val="single" w:color="auto" w:sz="8" w:space="0"/>
              <w:left w:val="single" w:color="auto" w:sz="4" w:space="0"/>
              <w:bottom w:val="single" w:color="auto" w:sz="8" w:space="0"/>
              <w:right w:val="single" w:color="000000" w:sz="8" w:space="0"/>
            </w:tcBorders>
            <w:noWrap w:val="0"/>
            <w:vAlign w:val="center"/>
          </w:tcPr>
          <w:p>
            <w:pPr>
              <w:widowControl/>
              <w:shd w:val="clear" w:color="auto" w:fill="auto"/>
              <w:jc w:val="left"/>
              <w:rPr>
                <w:rFonts w:hAnsi="宋体" w:cs="宋体"/>
                <w:b/>
                <w:bCs/>
                <w:color w:val="auto"/>
                <w:sz w:val="22"/>
                <w:szCs w:val="22"/>
                <w:highlight w:val="none"/>
              </w:rPr>
            </w:pPr>
          </w:p>
        </w:tc>
      </w:tr>
      <w:tr>
        <w:tblPrEx>
          <w:tblCellMar>
            <w:top w:w="0" w:type="dxa"/>
            <w:left w:w="108" w:type="dxa"/>
            <w:bottom w:w="0" w:type="dxa"/>
            <w:right w:w="108" w:type="dxa"/>
          </w:tblCellMar>
        </w:tblPrEx>
        <w:trPr>
          <w:trHeight w:val="690" w:hRule="atLeast"/>
          <w:jc w:val="center"/>
        </w:trPr>
        <w:tc>
          <w:tcPr>
            <w:tcW w:w="2242" w:type="dxa"/>
            <w:tcBorders>
              <w:top w:val="single" w:color="auto" w:sz="8" w:space="0"/>
              <w:left w:val="single" w:color="auto" w:sz="8" w:space="0"/>
              <w:bottom w:val="single" w:color="auto" w:sz="8" w:space="0"/>
              <w:right w:val="single" w:color="auto" w:sz="4" w:space="0"/>
            </w:tcBorders>
            <w:noWrap w:val="0"/>
            <w:vAlign w:val="center"/>
          </w:tcPr>
          <w:p>
            <w:pPr>
              <w:widowControl/>
              <w:shd w:val="clear" w:color="auto" w:fill="auto"/>
              <w:jc w:val="left"/>
              <w:rPr>
                <w:rFonts w:hAnsi="宋体" w:cs="宋体"/>
                <w:b/>
                <w:bCs/>
                <w:color w:val="auto"/>
                <w:sz w:val="22"/>
                <w:szCs w:val="22"/>
                <w:highlight w:val="none"/>
              </w:rPr>
            </w:pPr>
            <w:r>
              <w:rPr>
                <w:rFonts w:hint="eastAsia" w:hAnsi="宋体" w:cs="宋体"/>
                <w:b/>
                <w:bCs/>
                <w:color w:val="auto"/>
                <w:sz w:val="22"/>
                <w:szCs w:val="22"/>
                <w:highlight w:val="none"/>
              </w:rPr>
              <w:t>其他承诺</w:t>
            </w:r>
          </w:p>
        </w:tc>
        <w:tc>
          <w:tcPr>
            <w:tcW w:w="7420" w:type="dxa"/>
            <w:tcBorders>
              <w:top w:val="single" w:color="auto" w:sz="8" w:space="0"/>
              <w:left w:val="single" w:color="auto" w:sz="4" w:space="0"/>
              <w:bottom w:val="single" w:color="auto" w:sz="8" w:space="0"/>
              <w:right w:val="single" w:color="000000" w:sz="8" w:space="0"/>
            </w:tcBorders>
            <w:noWrap w:val="0"/>
            <w:vAlign w:val="center"/>
          </w:tcPr>
          <w:p>
            <w:pPr>
              <w:widowControl/>
              <w:shd w:val="clear" w:color="auto" w:fill="auto"/>
              <w:jc w:val="left"/>
              <w:rPr>
                <w:rFonts w:hAnsi="宋体" w:cs="宋体"/>
                <w:b/>
                <w:bCs/>
                <w:color w:val="auto"/>
                <w:sz w:val="22"/>
                <w:szCs w:val="22"/>
                <w:highlight w:val="none"/>
              </w:rPr>
            </w:pPr>
          </w:p>
        </w:tc>
      </w:tr>
    </w:tbl>
    <w:p>
      <w:pPr>
        <w:rPr>
          <w:rFonts w:hAnsi="宋体"/>
          <w:color w:val="auto"/>
          <w:sz w:val="24"/>
          <w:szCs w:val="24"/>
          <w:highlight w:val="none"/>
        </w:rPr>
      </w:pPr>
    </w:p>
    <w:p>
      <w:pPr>
        <w:rPr>
          <w:rFonts w:hAnsi="宋体"/>
          <w:b/>
          <w:color w:val="auto"/>
          <w:sz w:val="24"/>
          <w:szCs w:val="24"/>
          <w:highlight w:val="none"/>
        </w:rPr>
      </w:pPr>
      <w:r>
        <w:rPr>
          <w:rFonts w:hint="eastAsia" w:hAnsi="宋体"/>
          <w:b/>
          <w:color w:val="auto"/>
          <w:sz w:val="24"/>
          <w:szCs w:val="24"/>
          <w:highlight w:val="none"/>
        </w:rPr>
        <w:t>注：本次采购的</w:t>
      </w:r>
      <w:r>
        <w:rPr>
          <w:rFonts w:hint="eastAsia" w:hAnsi="宋体"/>
          <w:b/>
          <w:color w:val="auto"/>
          <w:sz w:val="24"/>
          <w:szCs w:val="24"/>
          <w:highlight w:val="none"/>
          <w:lang w:val="en-US" w:eastAsia="zh-CN"/>
        </w:rPr>
        <w:t>货物</w:t>
      </w:r>
      <w:r>
        <w:rPr>
          <w:rFonts w:hint="eastAsia" w:hAnsi="宋体"/>
          <w:b/>
          <w:color w:val="auto"/>
          <w:sz w:val="24"/>
          <w:szCs w:val="24"/>
          <w:highlight w:val="none"/>
        </w:rPr>
        <w:t>报价单位为：人民币元。</w:t>
      </w:r>
    </w:p>
    <w:p>
      <w:pPr>
        <w:pStyle w:val="10"/>
        <w:tabs>
          <w:tab w:val="left" w:pos="5580"/>
        </w:tabs>
        <w:spacing w:before="120" w:line="22" w:lineRule="atLeast"/>
        <w:rPr>
          <w:rFonts w:hAnsi="宋体"/>
          <w:color w:val="auto"/>
          <w:sz w:val="24"/>
          <w:szCs w:val="24"/>
          <w:highlight w:val="none"/>
        </w:rPr>
      </w:pPr>
      <w:r>
        <w:rPr>
          <w:rFonts w:hint="eastAsia" w:hAnsi="宋体"/>
          <w:color w:val="auto"/>
          <w:sz w:val="24"/>
          <w:szCs w:val="24"/>
          <w:highlight w:val="none"/>
        </w:rPr>
        <w:t>供应商名称：</w:t>
      </w:r>
      <w:r>
        <w:rPr>
          <w:rFonts w:hint="eastAsia" w:hAnsi="宋体"/>
          <w:color w:val="auto"/>
          <w:sz w:val="24"/>
          <w:szCs w:val="24"/>
          <w:highlight w:val="none"/>
          <w:u w:val="single"/>
        </w:rPr>
        <w:t xml:space="preserve">           </w:t>
      </w:r>
      <w:r>
        <w:rPr>
          <w:rFonts w:hint="eastAsia" w:hAnsi="宋体"/>
          <w:color w:val="auto"/>
          <w:sz w:val="24"/>
          <w:szCs w:val="24"/>
          <w:highlight w:val="none"/>
        </w:rPr>
        <w:t>（盖章）</w:t>
      </w:r>
    </w:p>
    <w:p>
      <w:pPr>
        <w:pStyle w:val="10"/>
        <w:tabs>
          <w:tab w:val="left" w:pos="5580"/>
        </w:tabs>
        <w:spacing w:before="120" w:line="22" w:lineRule="atLeast"/>
        <w:rPr>
          <w:rFonts w:hAnsi="宋体"/>
          <w:color w:val="auto"/>
          <w:sz w:val="24"/>
          <w:szCs w:val="24"/>
          <w:highlight w:val="none"/>
          <w:u w:val="single"/>
        </w:rPr>
      </w:pPr>
      <w:r>
        <w:rPr>
          <w:rFonts w:hint="eastAsia" w:hAnsi="宋体" w:cs="宋体"/>
          <w:color w:val="auto"/>
          <w:sz w:val="24"/>
          <w:szCs w:val="24"/>
          <w:highlight w:val="none"/>
        </w:rPr>
        <w:t>法定代表人或其委托代理人（签字）</w:t>
      </w:r>
      <w:r>
        <w:rPr>
          <w:rFonts w:hint="eastAsia" w:hAnsi="宋体"/>
          <w:color w:val="auto"/>
          <w:sz w:val="24"/>
          <w:szCs w:val="24"/>
          <w:highlight w:val="none"/>
        </w:rPr>
        <w:t>:</w:t>
      </w:r>
      <w:r>
        <w:rPr>
          <w:rFonts w:hAnsi="宋体"/>
          <w:color w:val="auto"/>
          <w:sz w:val="24"/>
          <w:szCs w:val="24"/>
          <w:highlight w:val="none"/>
          <w:u w:val="single"/>
        </w:rPr>
        <w:tab/>
      </w:r>
    </w:p>
    <w:p>
      <w:pPr>
        <w:widowControl/>
        <w:autoSpaceDE w:val="0"/>
        <w:autoSpaceDN w:val="0"/>
        <w:jc w:val="left"/>
        <w:textAlignment w:val="bottom"/>
        <w:rPr>
          <w:rFonts w:hAnsi="宋体"/>
          <w:color w:val="auto"/>
          <w:sz w:val="24"/>
          <w:szCs w:val="24"/>
          <w:highlight w:val="none"/>
        </w:rPr>
      </w:pPr>
    </w:p>
    <w:p>
      <w:pPr>
        <w:widowControl/>
        <w:autoSpaceDE w:val="0"/>
        <w:autoSpaceDN w:val="0"/>
        <w:jc w:val="left"/>
        <w:textAlignment w:val="bottom"/>
        <w:rPr>
          <w:rFonts w:hAnsi="宋体"/>
          <w:color w:val="auto"/>
          <w:sz w:val="24"/>
          <w:szCs w:val="24"/>
          <w:highlight w:val="none"/>
        </w:rPr>
      </w:pPr>
      <w:r>
        <w:rPr>
          <w:rFonts w:hint="eastAsia" w:hAnsi="宋体"/>
          <w:color w:val="auto"/>
          <w:sz w:val="24"/>
          <w:szCs w:val="24"/>
          <w:highlight w:val="none"/>
        </w:rPr>
        <w:t>日期：   年   月    日</w:t>
      </w:r>
    </w:p>
    <w:p>
      <w:pPr>
        <w:widowControl/>
        <w:autoSpaceDE w:val="0"/>
        <w:autoSpaceDN w:val="0"/>
        <w:spacing w:line="360" w:lineRule="auto"/>
        <w:jc w:val="left"/>
        <w:textAlignment w:val="bottom"/>
        <w:rPr>
          <w:rFonts w:hAnsi="宋体"/>
          <w:color w:val="auto"/>
          <w:sz w:val="24"/>
          <w:szCs w:val="24"/>
          <w:highlight w:val="none"/>
        </w:rPr>
      </w:pPr>
    </w:p>
    <w:p>
      <w:pPr>
        <w:widowControl/>
        <w:autoSpaceDE w:val="0"/>
        <w:autoSpaceDN w:val="0"/>
        <w:spacing w:line="360" w:lineRule="auto"/>
        <w:jc w:val="left"/>
        <w:textAlignment w:val="bottom"/>
        <w:rPr>
          <w:rFonts w:hAnsi="宋体"/>
          <w:color w:val="auto"/>
          <w:sz w:val="18"/>
          <w:szCs w:val="18"/>
          <w:highlight w:val="none"/>
        </w:rPr>
      </w:pPr>
      <w:r>
        <w:rPr>
          <w:rFonts w:hint="eastAsia" w:hAnsi="宋体"/>
          <w:color w:val="auto"/>
          <w:sz w:val="18"/>
          <w:szCs w:val="18"/>
          <w:highlight w:val="none"/>
        </w:rPr>
        <w:t>注:1、投标报价应包括磋商文件所规定的采购范围的全部内容；</w:t>
      </w:r>
    </w:p>
    <w:p>
      <w:pPr>
        <w:widowControl/>
        <w:autoSpaceDE w:val="0"/>
        <w:autoSpaceDN w:val="0"/>
        <w:spacing w:line="360" w:lineRule="auto"/>
        <w:ind w:firstLine="270" w:firstLineChars="150"/>
        <w:jc w:val="left"/>
        <w:textAlignment w:val="bottom"/>
        <w:rPr>
          <w:rFonts w:hAnsi="宋体"/>
          <w:color w:val="auto"/>
          <w:sz w:val="18"/>
          <w:szCs w:val="18"/>
          <w:highlight w:val="none"/>
        </w:rPr>
      </w:pPr>
      <w:r>
        <w:rPr>
          <w:rFonts w:hint="eastAsia" w:hAnsi="宋体" w:cs="宋体"/>
          <w:color w:val="auto"/>
          <w:sz w:val="18"/>
          <w:szCs w:val="18"/>
          <w:highlight w:val="none"/>
        </w:rPr>
        <w:t>2、磋商小组</w:t>
      </w:r>
      <w:r>
        <w:rPr>
          <w:rFonts w:hAnsi="宋体" w:cs="宋体"/>
          <w:color w:val="auto"/>
          <w:sz w:val="18"/>
          <w:szCs w:val="18"/>
          <w:highlight w:val="none"/>
        </w:rPr>
        <w:t>发现</w:t>
      </w:r>
      <w:r>
        <w:rPr>
          <w:rFonts w:hint="eastAsia" w:hAnsi="宋体" w:cs="宋体"/>
          <w:color w:val="auto"/>
          <w:sz w:val="18"/>
          <w:szCs w:val="18"/>
          <w:highlight w:val="none"/>
        </w:rPr>
        <w:t>供应商</w:t>
      </w:r>
      <w:r>
        <w:rPr>
          <w:rFonts w:hAnsi="宋体" w:cs="宋体"/>
          <w:color w:val="auto"/>
          <w:sz w:val="18"/>
          <w:szCs w:val="18"/>
          <w:highlight w:val="none"/>
        </w:rPr>
        <w:t>的报价明显低于其他投标报价，或者其投标报价可能低于其成本的，应当要求该</w:t>
      </w:r>
      <w:r>
        <w:rPr>
          <w:rFonts w:hint="eastAsia" w:hAnsi="宋体" w:cs="宋体"/>
          <w:color w:val="auto"/>
          <w:sz w:val="18"/>
          <w:szCs w:val="18"/>
          <w:highlight w:val="none"/>
        </w:rPr>
        <w:t>供应商</w:t>
      </w:r>
      <w:r>
        <w:rPr>
          <w:rFonts w:hAnsi="宋体" w:cs="宋体"/>
          <w:color w:val="auto"/>
          <w:sz w:val="18"/>
          <w:szCs w:val="18"/>
          <w:highlight w:val="none"/>
        </w:rPr>
        <w:t>作出书面说明并提供相应的证明材料。</w:t>
      </w:r>
      <w:r>
        <w:rPr>
          <w:rFonts w:hint="eastAsia" w:hAnsi="宋体" w:cs="宋体"/>
          <w:color w:val="auto"/>
          <w:sz w:val="18"/>
          <w:szCs w:val="18"/>
          <w:highlight w:val="none"/>
        </w:rPr>
        <w:t>供应商</w:t>
      </w:r>
      <w:r>
        <w:rPr>
          <w:rFonts w:hAnsi="宋体" w:cs="宋体"/>
          <w:color w:val="auto"/>
          <w:sz w:val="18"/>
          <w:szCs w:val="18"/>
          <w:highlight w:val="none"/>
        </w:rPr>
        <w:t>不能合理说明或者不能提供相应证明材料的，由</w:t>
      </w:r>
      <w:r>
        <w:rPr>
          <w:rFonts w:hint="eastAsia" w:hAnsi="宋体" w:cs="宋体"/>
          <w:color w:val="auto"/>
          <w:sz w:val="18"/>
          <w:szCs w:val="18"/>
          <w:highlight w:val="none"/>
        </w:rPr>
        <w:t>磋商小组</w:t>
      </w:r>
      <w:r>
        <w:rPr>
          <w:rFonts w:hAnsi="宋体" w:cs="宋体"/>
          <w:color w:val="auto"/>
          <w:sz w:val="18"/>
          <w:szCs w:val="18"/>
          <w:highlight w:val="none"/>
        </w:rPr>
        <w:t>认定该</w:t>
      </w:r>
      <w:r>
        <w:rPr>
          <w:rFonts w:hint="eastAsia" w:hAnsi="宋体" w:cs="宋体"/>
          <w:color w:val="auto"/>
          <w:sz w:val="18"/>
          <w:szCs w:val="18"/>
          <w:highlight w:val="none"/>
        </w:rPr>
        <w:t>供应商</w:t>
      </w:r>
      <w:r>
        <w:rPr>
          <w:rFonts w:hAnsi="宋体" w:cs="宋体"/>
          <w:color w:val="auto"/>
          <w:sz w:val="18"/>
          <w:szCs w:val="18"/>
          <w:highlight w:val="none"/>
        </w:rPr>
        <w:t>以低于成本报价竞标，其投标作废标处理。</w:t>
      </w:r>
    </w:p>
    <w:p>
      <w:pPr>
        <w:jc w:val="center"/>
        <w:rPr>
          <w:rFonts w:ascii="黑体" w:eastAsia="黑体"/>
          <w:b/>
          <w:color w:val="auto"/>
          <w:sz w:val="24"/>
          <w:szCs w:val="24"/>
          <w:highlight w:val="none"/>
        </w:rPr>
      </w:pPr>
    </w:p>
    <w:p>
      <w:pPr>
        <w:jc w:val="center"/>
        <w:rPr>
          <w:rFonts w:ascii="黑体" w:eastAsia="黑体"/>
          <w:b/>
          <w:color w:val="auto"/>
          <w:sz w:val="24"/>
          <w:szCs w:val="24"/>
          <w:highlight w:val="none"/>
        </w:rPr>
      </w:pPr>
    </w:p>
    <w:p>
      <w:pPr>
        <w:jc w:val="center"/>
        <w:rPr>
          <w:rFonts w:ascii="黑体" w:eastAsia="黑体"/>
          <w:b/>
          <w:color w:val="auto"/>
          <w:sz w:val="24"/>
          <w:szCs w:val="24"/>
          <w:highlight w:val="none"/>
        </w:rPr>
      </w:pPr>
    </w:p>
    <w:p>
      <w:pPr>
        <w:pStyle w:val="4"/>
        <w:pageBreakBefore/>
        <w:tabs>
          <w:tab w:val="left" w:pos="5580"/>
        </w:tabs>
        <w:spacing w:before="0" w:after="0" w:line="22" w:lineRule="atLeast"/>
        <w:jc w:val="left"/>
        <w:outlineLvl w:val="0"/>
        <w:rPr>
          <w:rFonts w:ascii="宋体" w:hAnsi="宋体" w:eastAsia="宋体"/>
          <w:color w:val="auto"/>
          <w:sz w:val="24"/>
          <w:szCs w:val="24"/>
          <w:highlight w:val="none"/>
        </w:rPr>
      </w:pPr>
      <w:bookmarkStart w:id="95" w:name="_Toc495679418"/>
      <w:bookmarkStart w:id="96" w:name="_Toc22299"/>
      <w:r>
        <w:rPr>
          <w:rFonts w:hint="eastAsia" w:ascii="宋体" w:hAnsi="宋体" w:eastAsia="宋体"/>
          <w:color w:val="auto"/>
          <w:sz w:val="24"/>
          <w:szCs w:val="24"/>
          <w:highlight w:val="none"/>
        </w:rPr>
        <w:t>三、法定代表人证明书或法定代表人委托书</w:t>
      </w:r>
      <w:bookmarkEnd w:id="95"/>
      <w:bookmarkEnd w:id="96"/>
      <w:bookmarkStart w:id="97" w:name="_Toc183588706"/>
      <w:bookmarkStart w:id="98" w:name="_Ref467990064"/>
      <w:bookmarkStart w:id="99" w:name="_Ref467990058"/>
      <w:bookmarkStart w:id="100" w:name="_Ref467988471"/>
      <w:bookmarkStart w:id="101" w:name="_Toc520356229"/>
      <w:bookmarkStart w:id="102" w:name="_Ref467990100"/>
      <w:bookmarkStart w:id="103" w:name="_Toc520125061"/>
      <w:bookmarkStart w:id="104" w:name="_Toc480942358"/>
      <w:bookmarkStart w:id="105" w:name="_Toc480942357"/>
      <w:bookmarkStart w:id="106" w:name="_Toc520356228"/>
      <w:bookmarkStart w:id="107" w:name="_Ref467990101"/>
      <w:bookmarkStart w:id="108" w:name="_Toc520125062"/>
      <w:bookmarkStart w:id="109" w:name="_Ref467988479"/>
      <w:bookmarkStart w:id="110" w:name="_Ref467988485"/>
    </w:p>
    <w:bookmarkEnd w:id="97"/>
    <w:p>
      <w:pPr>
        <w:pStyle w:val="2"/>
        <w:rPr>
          <w:rFonts w:hAnsi="宋体"/>
          <w:color w:val="auto"/>
          <w:szCs w:val="24"/>
          <w:highlight w:val="none"/>
        </w:rPr>
      </w:pPr>
    </w:p>
    <w:p>
      <w:pPr>
        <w:spacing w:line="560" w:lineRule="exact"/>
        <w:jc w:val="center"/>
        <w:rPr>
          <w:rFonts w:hAnsi="宋体"/>
          <w:b/>
          <w:color w:val="auto"/>
          <w:sz w:val="24"/>
          <w:szCs w:val="24"/>
          <w:highlight w:val="none"/>
        </w:rPr>
      </w:pPr>
    </w:p>
    <w:p>
      <w:pPr>
        <w:spacing w:line="560" w:lineRule="exact"/>
        <w:jc w:val="center"/>
        <w:rPr>
          <w:rFonts w:hAnsi="宋体"/>
          <w:b/>
          <w:color w:val="auto"/>
          <w:sz w:val="24"/>
          <w:szCs w:val="24"/>
          <w:highlight w:val="none"/>
        </w:rPr>
      </w:pPr>
      <w:r>
        <w:rPr>
          <w:rFonts w:hint="eastAsia" w:hAnsi="宋体"/>
          <w:b/>
          <w:color w:val="auto"/>
          <w:sz w:val="24"/>
          <w:szCs w:val="24"/>
          <w:highlight w:val="none"/>
        </w:rPr>
        <w:t>3.1法定代表人身份证明书</w:t>
      </w:r>
    </w:p>
    <w:p>
      <w:pPr>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单位名称：</w:t>
      </w:r>
      <w:r>
        <w:rPr>
          <w:rFonts w:hAnsi="宋体"/>
          <w:color w:val="auto"/>
          <w:sz w:val="24"/>
          <w:szCs w:val="24"/>
          <w:highlight w:val="none"/>
          <w:u w:val="single"/>
        </w:rPr>
        <w:t xml:space="preserve">                                </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单位性质：</w:t>
      </w:r>
      <w:r>
        <w:rPr>
          <w:rFonts w:hAnsi="宋体"/>
          <w:color w:val="auto"/>
          <w:sz w:val="24"/>
          <w:szCs w:val="24"/>
          <w:highlight w:val="none"/>
          <w:u w:val="single"/>
        </w:rPr>
        <w:t xml:space="preserve">                                </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w:t>
      </w:r>
      <w:r>
        <w:rPr>
          <w:rFonts w:hAnsi="宋体"/>
          <w:color w:val="auto"/>
          <w:sz w:val="24"/>
          <w:szCs w:val="24"/>
          <w:highlight w:val="none"/>
        </w:rPr>
        <w:t xml:space="preserve">    </w:t>
      </w:r>
      <w:r>
        <w:rPr>
          <w:rFonts w:hint="eastAsia" w:hAnsi="宋体"/>
          <w:color w:val="auto"/>
          <w:sz w:val="24"/>
          <w:szCs w:val="24"/>
          <w:highlight w:val="none"/>
        </w:rPr>
        <w:t>址：</w:t>
      </w:r>
      <w:r>
        <w:rPr>
          <w:rFonts w:hAnsi="宋体"/>
          <w:color w:val="auto"/>
          <w:sz w:val="24"/>
          <w:szCs w:val="24"/>
          <w:highlight w:val="none"/>
          <w:u w:val="single"/>
        </w:rPr>
        <w:t xml:space="preserve">                                </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成立时间：</w:t>
      </w:r>
      <w:r>
        <w:rPr>
          <w:rFonts w:hAnsi="宋体"/>
          <w:color w:val="auto"/>
          <w:sz w:val="24"/>
          <w:szCs w:val="24"/>
          <w:highlight w:val="none"/>
          <w:u w:val="single"/>
        </w:rPr>
        <w:t xml:space="preserve">           </w:t>
      </w:r>
      <w:r>
        <w:rPr>
          <w:rFonts w:hint="eastAsia" w:hAnsi="宋体"/>
          <w:color w:val="auto"/>
          <w:sz w:val="24"/>
          <w:szCs w:val="24"/>
          <w:highlight w:val="none"/>
        </w:rPr>
        <w:t>年</w:t>
      </w:r>
      <w:r>
        <w:rPr>
          <w:rFonts w:hAnsi="宋体"/>
          <w:color w:val="auto"/>
          <w:sz w:val="24"/>
          <w:szCs w:val="24"/>
          <w:highlight w:val="none"/>
          <w:u w:val="single"/>
        </w:rPr>
        <w:t xml:space="preserve">        </w:t>
      </w:r>
      <w:r>
        <w:rPr>
          <w:rFonts w:hint="eastAsia" w:hAnsi="宋体"/>
          <w:color w:val="auto"/>
          <w:sz w:val="24"/>
          <w:szCs w:val="24"/>
          <w:highlight w:val="none"/>
        </w:rPr>
        <w:t>月</w:t>
      </w:r>
      <w:r>
        <w:rPr>
          <w:rFonts w:hAnsi="宋体"/>
          <w:color w:val="auto"/>
          <w:sz w:val="24"/>
          <w:szCs w:val="24"/>
          <w:highlight w:val="none"/>
          <w:u w:val="single"/>
        </w:rPr>
        <w:t xml:space="preserve">       </w:t>
      </w:r>
      <w:r>
        <w:rPr>
          <w:rFonts w:hint="eastAsia" w:hAnsi="宋体"/>
          <w:color w:val="auto"/>
          <w:sz w:val="24"/>
          <w:szCs w:val="24"/>
          <w:highlight w:val="none"/>
        </w:rPr>
        <w:t>日</w:t>
      </w:r>
    </w:p>
    <w:p>
      <w:pPr>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经营期限：</w:t>
      </w:r>
      <w:r>
        <w:rPr>
          <w:rFonts w:hAnsi="宋体"/>
          <w:color w:val="auto"/>
          <w:sz w:val="24"/>
          <w:szCs w:val="24"/>
          <w:highlight w:val="none"/>
          <w:u w:val="single"/>
        </w:rPr>
        <w:t xml:space="preserve">                                </w:t>
      </w:r>
    </w:p>
    <w:p>
      <w:pPr>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姓</w:t>
      </w:r>
      <w:r>
        <w:rPr>
          <w:rFonts w:hAnsi="宋体"/>
          <w:color w:val="auto"/>
          <w:sz w:val="24"/>
          <w:szCs w:val="24"/>
          <w:highlight w:val="none"/>
        </w:rPr>
        <w:t xml:space="preserve">    </w:t>
      </w:r>
      <w:r>
        <w:rPr>
          <w:rFonts w:hint="eastAsia" w:hAnsi="宋体"/>
          <w:color w:val="auto"/>
          <w:sz w:val="24"/>
          <w:szCs w:val="24"/>
          <w:highlight w:val="none"/>
        </w:rPr>
        <w:t>名：</w:t>
      </w:r>
      <w:r>
        <w:rPr>
          <w:rFonts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olor w:val="auto"/>
          <w:sz w:val="24"/>
          <w:szCs w:val="24"/>
          <w:highlight w:val="none"/>
        </w:rPr>
        <w:t>性</w:t>
      </w:r>
      <w:r>
        <w:rPr>
          <w:rFonts w:hAnsi="宋体"/>
          <w:color w:val="auto"/>
          <w:sz w:val="24"/>
          <w:szCs w:val="24"/>
          <w:highlight w:val="none"/>
        </w:rPr>
        <w:t xml:space="preserve"> </w:t>
      </w:r>
      <w:r>
        <w:rPr>
          <w:rFonts w:hint="eastAsia" w:hAnsi="宋体"/>
          <w:color w:val="auto"/>
          <w:sz w:val="24"/>
          <w:szCs w:val="24"/>
          <w:highlight w:val="none"/>
        </w:rPr>
        <w:t>别：</w:t>
      </w:r>
      <w:r>
        <w:rPr>
          <w:rFonts w:hAnsi="宋体"/>
          <w:color w:val="auto"/>
          <w:sz w:val="24"/>
          <w:szCs w:val="24"/>
          <w:highlight w:val="none"/>
          <w:u w:val="single"/>
        </w:rPr>
        <w:t xml:space="preserve">         </w:t>
      </w:r>
    </w:p>
    <w:p>
      <w:pPr>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年</w:t>
      </w:r>
      <w:r>
        <w:rPr>
          <w:rFonts w:hAnsi="宋体"/>
          <w:color w:val="auto"/>
          <w:sz w:val="24"/>
          <w:szCs w:val="24"/>
          <w:highlight w:val="none"/>
        </w:rPr>
        <w:t xml:space="preserve">    </w:t>
      </w:r>
      <w:r>
        <w:rPr>
          <w:rFonts w:hint="eastAsia" w:hAnsi="宋体"/>
          <w:color w:val="auto"/>
          <w:sz w:val="24"/>
          <w:szCs w:val="24"/>
          <w:highlight w:val="none"/>
        </w:rPr>
        <w:t>龄：</w:t>
      </w:r>
      <w:r>
        <w:rPr>
          <w:rFonts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olor w:val="auto"/>
          <w:sz w:val="24"/>
          <w:szCs w:val="24"/>
          <w:highlight w:val="none"/>
        </w:rPr>
        <w:t>职</w:t>
      </w:r>
      <w:r>
        <w:rPr>
          <w:rFonts w:hAnsi="宋体"/>
          <w:color w:val="auto"/>
          <w:sz w:val="24"/>
          <w:szCs w:val="24"/>
          <w:highlight w:val="none"/>
        </w:rPr>
        <w:t xml:space="preserve"> </w:t>
      </w:r>
      <w:r>
        <w:rPr>
          <w:rFonts w:hint="eastAsia" w:hAnsi="宋体"/>
          <w:color w:val="auto"/>
          <w:sz w:val="24"/>
          <w:szCs w:val="24"/>
          <w:highlight w:val="none"/>
        </w:rPr>
        <w:t>务：</w:t>
      </w:r>
      <w:r>
        <w:rPr>
          <w:rFonts w:hAnsi="宋体"/>
          <w:color w:val="auto"/>
          <w:sz w:val="24"/>
          <w:szCs w:val="24"/>
          <w:highlight w:val="none"/>
          <w:u w:val="single"/>
        </w:rPr>
        <w:t xml:space="preserve">         </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系</w:t>
      </w:r>
      <w:r>
        <w:rPr>
          <w:rFonts w:hAnsi="宋体"/>
          <w:color w:val="auto"/>
          <w:sz w:val="24"/>
          <w:szCs w:val="24"/>
          <w:highlight w:val="none"/>
          <w:u w:val="single"/>
        </w:rPr>
        <w:t xml:space="preserve">             </w:t>
      </w:r>
      <w:r>
        <w:rPr>
          <w:rFonts w:hint="eastAsia" w:hAnsi="宋体"/>
          <w:color w:val="auto"/>
          <w:sz w:val="24"/>
          <w:szCs w:val="24"/>
          <w:highlight w:val="none"/>
          <w:u w:val="single"/>
        </w:rPr>
        <w:t>（投标人单位名称）</w:t>
      </w:r>
      <w:r>
        <w:rPr>
          <w:rFonts w:hAnsi="宋体"/>
          <w:color w:val="auto"/>
          <w:sz w:val="24"/>
          <w:szCs w:val="24"/>
          <w:highlight w:val="none"/>
          <w:u w:val="single"/>
        </w:rPr>
        <w:t xml:space="preserve">        </w:t>
      </w:r>
      <w:r>
        <w:rPr>
          <w:rFonts w:hint="eastAsia" w:hAnsi="宋体"/>
          <w:color w:val="auto"/>
          <w:sz w:val="24"/>
          <w:szCs w:val="24"/>
          <w:highlight w:val="none"/>
        </w:rPr>
        <w:t>的法定代表人。</w:t>
      </w:r>
    </w:p>
    <w:p>
      <w:pPr>
        <w:spacing w:line="360" w:lineRule="auto"/>
        <w:ind w:firstLine="480" w:firstLineChars="200"/>
        <w:rPr>
          <w:rFonts w:hAnsi="宋体"/>
          <w:color w:val="auto"/>
          <w:sz w:val="24"/>
          <w:szCs w:val="24"/>
          <w:highlight w:val="none"/>
        </w:rPr>
      </w:pP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特此证明。</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附：法定代表人身份证复印件</w:t>
      </w:r>
    </w:p>
    <w:p>
      <w:pPr>
        <w:spacing w:line="360" w:lineRule="auto"/>
        <w:ind w:firstLine="3360" w:firstLineChars="1400"/>
        <w:rPr>
          <w:rFonts w:hAnsi="宋体"/>
          <w:color w:val="auto"/>
          <w:sz w:val="24"/>
          <w:szCs w:val="24"/>
          <w:highlight w:val="none"/>
        </w:rPr>
      </w:pPr>
    </w:p>
    <w:p>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投标人：</w:t>
      </w:r>
      <w:r>
        <w:rPr>
          <w:rFonts w:hAnsi="宋体"/>
          <w:color w:val="auto"/>
          <w:sz w:val="24"/>
          <w:szCs w:val="24"/>
          <w:highlight w:val="none"/>
          <w:u w:val="single"/>
        </w:rPr>
        <w:t xml:space="preserve">          </w:t>
      </w:r>
      <w:r>
        <w:rPr>
          <w:rFonts w:hint="eastAsia" w:hAnsi="宋体"/>
          <w:color w:val="auto"/>
          <w:sz w:val="24"/>
          <w:szCs w:val="24"/>
          <w:highlight w:val="none"/>
        </w:rPr>
        <w:t>（盖单位章）</w:t>
      </w:r>
    </w:p>
    <w:p>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日</w:t>
      </w:r>
      <w:r>
        <w:rPr>
          <w:rFonts w:hAnsi="宋体"/>
          <w:color w:val="auto"/>
          <w:sz w:val="24"/>
          <w:szCs w:val="24"/>
          <w:highlight w:val="none"/>
        </w:rPr>
        <w:t xml:space="preserve">  </w:t>
      </w:r>
      <w:r>
        <w:rPr>
          <w:rFonts w:hint="eastAsia" w:hAnsi="宋体"/>
          <w:color w:val="auto"/>
          <w:sz w:val="24"/>
          <w:szCs w:val="24"/>
          <w:highlight w:val="none"/>
        </w:rPr>
        <w:t>期：</w:t>
      </w:r>
      <w:r>
        <w:rPr>
          <w:rFonts w:hAnsi="宋体"/>
          <w:color w:val="auto"/>
          <w:sz w:val="24"/>
          <w:szCs w:val="24"/>
          <w:highlight w:val="none"/>
          <w:u w:val="single"/>
        </w:rPr>
        <w:t xml:space="preserve">      </w:t>
      </w:r>
      <w:r>
        <w:rPr>
          <w:rFonts w:hint="eastAsia" w:hAnsi="宋体"/>
          <w:color w:val="auto"/>
          <w:sz w:val="24"/>
          <w:szCs w:val="24"/>
          <w:highlight w:val="none"/>
        </w:rPr>
        <w:t>年</w:t>
      </w:r>
      <w:r>
        <w:rPr>
          <w:rFonts w:hAnsi="宋体"/>
          <w:color w:val="auto"/>
          <w:sz w:val="24"/>
          <w:szCs w:val="24"/>
          <w:highlight w:val="none"/>
          <w:u w:val="single"/>
        </w:rPr>
        <w:t xml:space="preserve">    </w:t>
      </w:r>
      <w:r>
        <w:rPr>
          <w:rFonts w:hint="eastAsia" w:hAnsi="宋体"/>
          <w:color w:val="auto"/>
          <w:sz w:val="24"/>
          <w:szCs w:val="24"/>
          <w:highlight w:val="none"/>
        </w:rPr>
        <w:t>月</w:t>
      </w:r>
      <w:r>
        <w:rPr>
          <w:rFonts w:hAnsi="宋体"/>
          <w:color w:val="auto"/>
          <w:sz w:val="24"/>
          <w:szCs w:val="24"/>
          <w:highlight w:val="none"/>
          <w:u w:val="single"/>
        </w:rPr>
        <w:t xml:space="preserve">    </w:t>
      </w:r>
      <w:r>
        <w:rPr>
          <w:rFonts w:hint="eastAsia" w:hAnsi="宋体"/>
          <w:color w:val="auto"/>
          <w:sz w:val="24"/>
          <w:szCs w:val="24"/>
          <w:highlight w:val="none"/>
        </w:rPr>
        <w:t>日</w:t>
      </w:r>
    </w:p>
    <w:p>
      <w:pPr>
        <w:spacing w:line="420" w:lineRule="exact"/>
        <w:ind w:right="74"/>
        <w:jc w:val="left"/>
        <w:rPr>
          <w:rFonts w:hAnsi="宋体"/>
          <w:bCs/>
          <w:color w:val="auto"/>
          <w:sz w:val="24"/>
          <w:szCs w:val="24"/>
          <w:highlight w:val="none"/>
        </w:rPr>
      </w:pPr>
      <w:r>
        <w:rPr>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371475</wp:posOffset>
                </wp:positionH>
                <wp:positionV relativeFrom="paragraph">
                  <wp:posOffset>245110</wp:posOffset>
                </wp:positionV>
                <wp:extent cx="4390390" cy="2179320"/>
                <wp:effectExtent l="5080" t="4445" r="5080" b="6985"/>
                <wp:wrapNone/>
                <wp:docPr id="7" name="文本框 7"/>
                <wp:cNvGraphicFramePr/>
                <a:graphic xmlns:a="http://schemas.openxmlformats.org/drawingml/2006/main">
                  <a:graphicData uri="http://schemas.microsoft.com/office/word/2010/wordprocessingShape">
                    <wps:wsp>
                      <wps:cNvSpPr txBox="1"/>
                      <wps:spPr>
                        <a:xfrm>
                          <a:off x="0" y="0"/>
                          <a:ext cx="439039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rPr>
                                <w:sz w:val="28"/>
                                <w:szCs w:val="28"/>
                              </w:rPr>
                            </w:pPr>
                          </w:p>
                          <w:p>
                            <w:pPr>
                              <w:jc w:val="center"/>
                              <w:rPr>
                                <w:sz w:val="28"/>
                                <w:szCs w:val="28"/>
                              </w:rPr>
                            </w:pPr>
                            <w:r>
                              <w:rPr>
                                <w:rFonts w:hint="eastAsia"/>
                                <w:sz w:val="28"/>
                                <w:szCs w:val="28"/>
                              </w:rPr>
                              <w:t>法人代表人身份证复印件</w:t>
                            </w:r>
                          </w:p>
                        </w:txbxContent>
                      </wps:txbx>
                      <wps:bodyPr upright="1"/>
                    </wps:wsp>
                  </a:graphicData>
                </a:graphic>
              </wp:anchor>
            </w:drawing>
          </mc:Choice>
          <mc:Fallback>
            <w:pict>
              <v:shape id="_x0000_s1026" o:spid="_x0000_s1026" o:spt="202" type="#_x0000_t202" style="position:absolute;left:0pt;margin-left:29.25pt;margin-top:19.3pt;height:171.6pt;width:345.7pt;z-index:251660288;mso-width-relative:page;mso-height-relative:page;" fillcolor="#FFFFFF" filled="t" stroked="t" coordsize="21600,21600" o:gfxdata="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oM7FDYAAAACQEAAA8AAAAAAAAAAQAg&#10;AAAAIgAAAGRycy9kb3ducmV2LnhtbFBLAQIUABQAAAAIAIdO4kAP1lV3DgIAADcEAAAOAAAAAAAA&#10;AAEAIAAAACcBAABkcnMvZTJvRG9jLnhtbFBLBQYAAAAABgAGAFkBAACnBQAAAAA=&#10;">
                <v:fill on="t" focussize="0,0"/>
                <v:stroke color="#000000" joinstyle="miter"/>
                <v:imagedata o:title=""/>
                <o:lock v:ext="edit" aspectratio="f"/>
                <v:textbox>
                  <w:txbxContent>
                    <w:p>
                      <w:pPr>
                        <w:jc w:val="center"/>
                      </w:pPr>
                    </w:p>
                    <w:p>
                      <w:pPr>
                        <w:jc w:val="center"/>
                      </w:pPr>
                    </w:p>
                    <w:p>
                      <w:pPr>
                        <w:jc w:val="center"/>
                        <w:rPr>
                          <w:sz w:val="28"/>
                          <w:szCs w:val="28"/>
                        </w:rPr>
                      </w:pPr>
                    </w:p>
                    <w:p>
                      <w:pPr>
                        <w:jc w:val="center"/>
                        <w:rPr>
                          <w:sz w:val="28"/>
                          <w:szCs w:val="28"/>
                        </w:rPr>
                      </w:pPr>
                      <w:r>
                        <w:rPr>
                          <w:rFonts w:hint="eastAsia"/>
                          <w:sz w:val="28"/>
                          <w:szCs w:val="28"/>
                        </w:rPr>
                        <w:t>法人代表人身份证复印件</w:t>
                      </w:r>
                    </w:p>
                  </w:txbxContent>
                </v:textbox>
              </v:shape>
            </w:pict>
          </mc:Fallback>
        </mc:AlternateContent>
      </w:r>
    </w:p>
    <w:p>
      <w:pPr>
        <w:pStyle w:val="10"/>
        <w:tabs>
          <w:tab w:val="left" w:pos="5580"/>
        </w:tabs>
        <w:spacing w:line="360" w:lineRule="auto"/>
        <w:rPr>
          <w:rFonts w:hAnsi="宋体"/>
          <w:color w:val="auto"/>
          <w:sz w:val="24"/>
          <w:szCs w:val="24"/>
          <w:highlight w:val="none"/>
          <w:u w:val="single"/>
        </w:rPr>
      </w:pPr>
    </w:p>
    <w:p>
      <w:pPr>
        <w:widowControl/>
        <w:jc w:val="left"/>
        <w:rPr>
          <w:rFonts w:hAnsi="宋体"/>
          <w:color w:val="auto"/>
          <w:sz w:val="24"/>
          <w:szCs w:val="24"/>
          <w:highlight w:val="none"/>
        </w:rPr>
      </w:pPr>
      <w:r>
        <w:rPr>
          <w:rFonts w:hAnsi="宋体"/>
          <w:color w:val="auto"/>
          <w:sz w:val="24"/>
          <w:szCs w:val="24"/>
          <w:highlight w:val="none"/>
        </w:rPr>
        <w:br w:type="page"/>
      </w:r>
    </w:p>
    <w:p>
      <w:pPr>
        <w:pStyle w:val="10"/>
        <w:tabs>
          <w:tab w:val="left" w:pos="5580"/>
        </w:tabs>
        <w:spacing w:line="360" w:lineRule="auto"/>
        <w:rPr>
          <w:rFonts w:hAnsi="宋体"/>
          <w:color w:val="auto"/>
          <w:sz w:val="24"/>
          <w:szCs w:val="24"/>
          <w:highlight w:val="none"/>
        </w:rPr>
      </w:pPr>
    </w:p>
    <w:p>
      <w:pPr>
        <w:spacing w:line="560" w:lineRule="exact"/>
        <w:jc w:val="center"/>
        <w:rPr>
          <w:rFonts w:hAnsi="宋体"/>
          <w:b/>
          <w:color w:val="auto"/>
          <w:sz w:val="24"/>
          <w:szCs w:val="24"/>
          <w:highlight w:val="none"/>
        </w:rPr>
      </w:pPr>
      <w:r>
        <w:rPr>
          <w:rFonts w:hint="eastAsia" w:hAnsi="宋体"/>
          <w:b/>
          <w:color w:val="auto"/>
          <w:sz w:val="24"/>
          <w:szCs w:val="24"/>
          <w:highlight w:val="none"/>
        </w:rPr>
        <w:t>3.2法定代表人授权委托书</w:t>
      </w:r>
    </w:p>
    <w:p>
      <w:pPr>
        <w:spacing w:line="560" w:lineRule="exact"/>
        <w:jc w:val="center"/>
        <w:rPr>
          <w:rFonts w:hAnsi="宋体"/>
          <w:b/>
          <w:color w:val="auto"/>
          <w:sz w:val="24"/>
          <w:szCs w:val="24"/>
          <w:highlight w:val="none"/>
        </w:rPr>
      </w:pPr>
    </w:p>
    <w:p>
      <w:pPr>
        <w:pStyle w:val="10"/>
        <w:adjustRightInd w:val="0"/>
        <w:snapToGrid w:val="0"/>
        <w:spacing w:line="480" w:lineRule="auto"/>
        <w:ind w:firstLine="420"/>
        <w:rPr>
          <w:rFonts w:hAnsi="宋体"/>
          <w:color w:val="auto"/>
          <w:sz w:val="24"/>
          <w:szCs w:val="24"/>
          <w:highlight w:val="none"/>
        </w:rPr>
      </w:pPr>
      <w:r>
        <w:rPr>
          <w:rFonts w:hint="eastAsia" w:hAnsi="宋体"/>
          <w:color w:val="auto"/>
          <w:sz w:val="24"/>
          <w:szCs w:val="24"/>
          <w:highlight w:val="none"/>
        </w:rPr>
        <w:t>我</w:t>
      </w:r>
      <w:r>
        <w:rPr>
          <w:rFonts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olor w:val="auto"/>
          <w:sz w:val="24"/>
          <w:szCs w:val="24"/>
          <w:highlight w:val="none"/>
        </w:rPr>
        <w:t>姓 名</w:t>
      </w:r>
      <w:r>
        <w:rPr>
          <w:rFonts w:hAnsi="宋体"/>
          <w:color w:val="auto"/>
          <w:sz w:val="24"/>
          <w:szCs w:val="24"/>
          <w:highlight w:val="none"/>
        </w:rPr>
        <w:t>)</w:t>
      </w:r>
      <w:r>
        <w:rPr>
          <w:rFonts w:hint="eastAsia" w:hAnsi="宋体"/>
          <w:color w:val="auto"/>
          <w:sz w:val="24"/>
          <w:szCs w:val="24"/>
          <w:highlight w:val="none"/>
        </w:rPr>
        <w:t>系</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投标人名称</w:t>
      </w:r>
      <w:r>
        <w:rPr>
          <w:rFonts w:hAnsi="宋体"/>
          <w:color w:val="auto"/>
          <w:sz w:val="24"/>
          <w:szCs w:val="24"/>
          <w:highlight w:val="none"/>
        </w:rPr>
        <w:t>)</w:t>
      </w:r>
      <w:r>
        <w:rPr>
          <w:rFonts w:hint="eastAsia" w:hAnsi="宋体"/>
          <w:color w:val="auto"/>
          <w:sz w:val="24"/>
          <w:szCs w:val="24"/>
          <w:highlight w:val="none"/>
        </w:rPr>
        <w:t>的法定代表人，现授权委托我单位</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姓名、职务</w:t>
      </w:r>
      <w:r>
        <w:rPr>
          <w:rFonts w:hAnsi="宋体"/>
          <w:color w:val="auto"/>
          <w:sz w:val="24"/>
          <w:szCs w:val="24"/>
          <w:highlight w:val="none"/>
        </w:rPr>
        <w:t>)</w:t>
      </w:r>
      <w:r>
        <w:rPr>
          <w:rFonts w:hint="eastAsia" w:hAnsi="宋体"/>
          <w:color w:val="auto"/>
          <w:sz w:val="24"/>
          <w:szCs w:val="24"/>
          <w:highlight w:val="none"/>
        </w:rPr>
        <w:t>为我公司代理人。代理人根据授权，以我方名义签署、澄清、说明、补正、递交、撤回、修改</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项目名称</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包号</w:t>
      </w:r>
      <w:r>
        <w:rPr>
          <w:rFonts w:hAnsi="宋体"/>
          <w:color w:val="auto"/>
          <w:sz w:val="24"/>
          <w:szCs w:val="24"/>
          <w:highlight w:val="none"/>
        </w:rPr>
        <w:t>)</w:t>
      </w:r>
      <w:r>
        <w:rPr>
          <w:rFonts w:hint="eastAsia" w:hAnsi="宋体"/>
          <w:color w:val="auto"/>
          <w:sz w:val="24"/>
          <w:szCs w:val="24"/>
          <w:highlight w:val="none"/>
        </w:rPr>
        <w:t>的磋商响应文件、签订合同和处理有关事宜，其法律后果由我方承担。</w:t>
      </w:r>
    </w:p>
    <w:p>
      <w:pPr>
        <w:pStyle w:val="10"/>
        <w:adjustRightInd w:val="0"/>
        <w:snapToGrid w:val="0"/>
        <w:spacing w:line="480" w:lineRule="auto"/>
        <w:ind w:left="412"/>
        <w:rPr>
          <w:rFonts w:hAnsi="宋体"/>
          <w:color w:val="auto"/>
          <w:sz w:val="24"/>
          <w:szCs w:val="24"/>
          <w:highlight w:val="none"/>
        </w:rPr>
      </w:pPr>
      <w:r>
        <w:rPr>
          <w:rFonts w:hint="eastAsia" w:hAnsi="宋体"/>
          <w:color w:val="auto"/>
          <w:sz w:val="24"/>
          <w:szCs w:val="24"/>
          <w:highlight w:val="none"/>
        </w:rPr>
        <w:t>代理人无转委托权。特此委托。附：委托代理人身份证复印件</w:t>
      </w:r>
    </w:p>
    <w:p>
      <w:pPr>
        <w:pStyle w:val="10"/>
        <w:adjustRightInd w:val="0"/>
        <w:snapToGrid w:val="0"/>
        <w:spacing w:line="360" w:lineRule="auto"/>
        <w:ind w:left="412"/>
        <w:rPr>
          <w:rFonts w:hAnsi="宋体"/>
          <w:color w:val="auto"/>
          <w:sz w:val="24"/>
          <w:szCs w:val="24"/>
          <w:highlight w:val="none"/>
        </w:rPr>
      </w:pPr>
    </w:p>
    <w:p>
      <w:pPr>
        <w:pStyle w:val="10"/>
        <w:adjustRightInd w:val="0"/>
        <w:snapToGrid w:val="0"/>
        <w:spacing w:line="360" w:lineRule="auto"/>
        <w:rPr>
          <w:rFonts w:hAnsi="宋体"/>
          <w:color w:val="auto"/>
          <w:sz w:val="24"/>
          <w:szCs w:val="24"/>
          <w:highlight w:val="none"/>
        </w:rPr>
      </w:pPr>
      <w:r>
        <w:rPr>
          <w:rFonts w:hint="eastAsia" w:hAnsi="宋体"/>
          <w:color w:val="auto"/>
          <w:sz w:val="24"/>
          <w:szCs w:val="24"/>
          <w:highlight w:val="none"/>
        </w:rPr>
        <w:t>投标人：</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盖单位章</w:t>
      </w:r>
      <w:r>
        <w:rPr>
          <w:rFonts w:hAnsi="宋体"/>
          <w:color w:val="auto"/>
          <w:sz w:val="24"/>
          <w:szCs w:val="24"/>
          <w:highlight w:val="none"/>
        </w:rPr>
        <w:t>)</w:t>
      </w:r>
    </w:p>
    <w:p>
      <w:pPr>
        <w:pStyle w:val="10"/>
        <w:adjustRightInd w:val="0"/>
        <w:snapToGrid w:val="0"/>
        <w:spacing w:line="360" w:lineRule="auto"/>
        <w:rPr>
          <w:rFonts w:hAnsi="宋体"/>
          <w:color w:val="auto"/>
          <w:sz w:val="24"/>
          <w:szCs w:val="24"/>
          <w:highlight w:val="none"/>
        </w:rPr>
      </w:pPr>
      <w:r>
        <w:rPr>
          <w:rFonts w:hint="eastAsia" w:hAnsi="宋体"/>
          <w:color w:val="auto"/>
          <w:sz w:val="24"/>
          <w:szCs w:val="24"/>
          <w:highlight w:val="none"/>
        </w:rPr>
        <w:t>法定代表人：</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签字/盖章</w:t>
      </w:r>
      <w:r>
        <w:rPr>
          <w:rFonts w:hAnsi="宋体"/>
          <w:color w:val="auto"/>
          <w:sz w:val="24"/>
          <w:szCs w:val="24"/>
          <w:highlight w:val="none"/>
        </w:rPr>
        <w:t>)</w:t>
      </w:r>
    </w:p>
    <w:p>
      <w:pPr>
        <w:pStyle w:val="10"/>
        <w:adjustRightInd w:val="0"/>
        <w:snapToGrid w:val="0"/>
        <w:spacing w:line="360" w:lineRule="auto"/>
        <w:rPr>
          <w:rFonts w:hAnsi="宋体"/>
          <w:color w:val="auto"/>
          <w:sz w:val="24"/>
          <w:szCs w:val="24"/>
          <w:highlight w:val="none"/>
          <w:u w:val="single"/>
        </w:rPr>
      </w:pPr>
      <w:r>
        <w:rPr>
          <w:rFonts w:hint="eastAsia" w:hAnsi="宋体"/>
          <w:color w:val="auto"/>
          <w:sz w:val="24"/>
          <w:szCs w:val="24"/>
          <w:highlight w:val="none"/>
        </w:rPr>
        <w:t>委托代理人：</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签字</w:t>
      </w:r>
      <w:r>
        <w:rPr>
          <w:rFonts w:hAnsi="宋体"/>
          <w:color w:val="auto"/>
          <w:sz w:val="24"/>
          <w:szCs w:val="24"/>
          <w:highlight w:val="none"/>
        </w:rPr>
        <w:t>)</w:t>
      </w:r>
    </w:p>
    <w:p>
      <w:pPr>
        <w:pStyle w:val="10"/>
        <w:adjustRightInd w:val="0"/>
        <w:snapToGrid w:val="0"/>
        <w:spacing w:line="360" w:lineRule="auto"/>
        <w:ind w:firstLine="2520" w:firstLineChars="1050"/>
        <w:rPr>
          <w:rFonts w:hAnsi="宋体"/>
          <w:color w:val="auto"/>
          <w:sz w:val="24"/>
          <w:szCs w:val="24"/>
          <w:highlight w:val="none"/>
          <w:u w:val="single"/>
        </w:rPr>
      </w:pPr>
    </w:p>
    <w:p>
      <w:pPr>
        <w:spacing w:line="660" w:lineRule="exact"/>
        <w:ind w:firstLine="4200" w:firstLineChars="1750"/>
        <w:rPr>
          <w:rFonts w:hAnsi="宋体"/>
          <w:color w:val="auto"/>
          <w:sz w:val="24"/>
          <w:szCs w:val="24"/>
          <w:highlight w:val="none"/>
        </w:rPr>
      </w:pPr>
      <w:r>
        <w:rPr>
          <w:rFonts w:hint="eastAsia"/>
          <w:color w:val="auto"/>
          <w:sz w:val="24"/>
          <w:szCs w:val="24"/>
          <w:highlight w:val="none"/>
        </w:rPr>
        <w:t>日期：</w:t>
      </w:r>
      <w:r>
        <w:rPr>
          <w:color w:val="auto"/>
          <w:sz w:val="24"/>
          <w:szCs w:val="24"/>
          <w:highlight w:val="none"/>
          <w:u w:val="single"/>
        </w:rPr>
        <w:t xml:space="preserve">       </w:t>
      </w: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p>
    <w:p>
      <w:pPr>
        <w:spacing w:line="660" w:lineRule="exact"/>
        <w:ind w:firstLine="480" w:firstLineChars="200"/>
        <w:rPr>
          <w:rFonts w:hAnsi="宋体"/>
          <w:color w:val="auto"/>
          <w:sz w:val="24"/>
          <w:szCs w:val="24"/>
          <w:highlight w:val="none"/>
        </w:rPr>
      </w:pPr>
      <w:r>
        <w:rPr>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200025</wp:posOffset>
                </wp:positionV>
                <wp:extent cx="4390390" cy="2179320"/>
                <wp:effectExtent l="5080" t="4445" r="5080" b="6985"/>
                <wp:wrapNone/>
                <wp:docPr id="2" name="文本框 2"/>
                <wp:cNvGraphicFramePr/>
                <a:graphic xmlns:a="http://schemas.openxmlformats.org/drawingml/2006/main">
                  <a:graphicData uri="http://schemas.microsoft.com/office/word/2010/wordprocessingShape">
                    <wps:wsp>
                      <wps:cNvSpPr txBox="1"/>
                      <wps:spPr>
                        <a:xfrm>
                          <a:off x="0" y="0"/>
                          <a:ext cx="439039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sz w:val="28"/>
                                <w:szCs w:val="28"/>
                              </w:rPr>
                            </w:pPr>
                            <w:r>
                              <w:rPr>
                                <w:rFonts w:hint="eastAsia"/>
                                <w:sz w:val="28"/>
                                <w:szCs w:val="28"/>
                              </w:rPr>
                              <w:t>代理人身份证复印件</w:t>
                            </w:r>
                          </w:p>
                        </w:txbxContent>
                      </wps:txbx>
                      <wps:bodyPr upright="1"/>
                    </wps:wsp>
                  </a:graphicData>
                </a:graphic>
              </wp:anchor>
            </w:drawing>
          </mc:Choice>
          <mc:Fallback>
            <w:pict>
              <v:shape id="_x0000_s1026" o:spid="_x0000_s1026" o:spt="202" type="#_x0000_t202" style="position:absolute;left:0pt;margin-left:45pt;margin-top:15.75pt;height:171.6pt;width:345.7pt;z-index:251659264;mso-width-relative:page;mso-height-relative:page;" fillcolor="#FFFFFF" filled="t" stroked="t" coordsize="21600,21600" o:gfxdata="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lkzPLZAAAACQEAAA8AAAAAAAAAAQAg&#10;AAAAIgAAAGRycy9kb3ducmV2LnhtbFBLAQIUABQAAAAIAIdO4kDB8pCEDQIAADcEAAAOAAAAAAAA&#10;AAEAIAAAACgBAABkcnMvZTJvRG9jLnhtbFBLBQYAAAAABgAGAFkBAACnBQAAAAA=&#10;">
                <v:fill on="t" focussize="0,0"/>
                <v:stroke color="#000000" joinstyle="miter"/>
                <v:imagedata o:title=""/>
                <o:lock v:ext="edit" aspectratio="f"/>
                <v:textbox>
                  <w:txbxContent>
                    <w:p>
                      <w:pPr>
                        <w:jc w:val="center"/>
                      </w:pPr>
                    </w:p>
                    <w:p>
                      <w:pPr>
                        <w:jc w:val="center"/>
                      </w:pPr>
                    </w:p>
                    <w:p>
                      <w:pPr>
                        <w:jc w:val="center"/>
                      </w:pPr>
                    </w:p>
                    <w:p>
                      <w:pPr>
                        <w:jc w:val="center"/>
                        <w:rPr>
                          <w:sz w:val="28"/>
                          <w:szCs w:val="28"/>
                        </w:rPr>
                      </w:pPr>
                      <w:r>
                        <w:rPr>
                          <w:rFonts w:hint="eastAsia"/>
                          <w:sz w:val="28"/>
                          <w:szCs w:val="28"/>
                        </w:rPr>
                        <w:t>代理人身份证复印件</w:t>
                      </w:r>
                    </w:p>
                  </w:txbxContent>
                </v:textbox>
              </v:shape>
            </w:pict>
          </mc:Fallback>
        </mc:AlternateContent>
      </w:r>
    </w:p>
    <w:p>
      <w:pPr>
        <w:spacing w:line="660" w:lineRule="exact"/>
        <w:ind w:firstLine="480" w:firstLineChars="200"/>
        <w:rPr>
          <w:rFonts w:hAnsi="宋体"/>
          <w:color w:val="auto"/>
          <w:sz w:val="24"/>
          <w:szCs w:val="24"/>
          <w:highlight w:val="none"/>
        </w:rPr>
      </w:pPr>
    </w:p>
    <w:p>
      <w:pPr>
        <w:spacing w:line="660" w:lineRule="exact"/>
        <w:ind w:firstLine="480" w:firstLineChars="200"/>
        <w:rPr>
          <w:rFonts w:hAnsi="宋体"/>
          <w:color w:val="auto"/>
          <w:sz w:val="24"/>
          <w:szCs w:val="24"/>
          <w:highlight w:val="none"/>
        </w:rPr>
      </w:pPr>
    </w:p>
    <w:p>
      <w:pPr>
        <w:spacing w:line="660" w:lineRule="exact"/>
        <w:ind w:firstLine="480" w:firstLineChars="200"/>
        <w:rPr>
          <w:rFonts w:hAnsi="宋体"/>
          <w:color w:val="auto"/>
          <w:sz w:val="24"/>
          <w:szCs w:val="24"/>
          <w:highlight w:val="none"/>
        </w:rPr>
      </w:pPr>
    </w:p>
    <w:p>
      <w:pPr>
        <w:spacing w:line="660" w:lineRule="exact"/>
        <w:ind w:firstLine="480" w:firstLineChars="200"/>
        <w:rPr>
          <w:rFonts w:hAnsi="宋体"/>
          <w:color w:val="auto"/>
          <w:sz w:val="24"/>
          <w:szCs w:val="24"/>
          <w:highlight w:val="none"/>
        </w:rPr>
      </w:pPr>
    </w:p>
    <w:p>
      <w:pPr>
        <w:spacing w:line="660" w:lineRule="exact"/>
        <w:ind w:firstLine="480" w:firstLineChars="200"/>
        <w:rPr>
          <w:rFonts w:hAnsi="宋体"/>
          <w:color w:val="auto"/>
          <w:sz w:val="24"/>
          <w:szCs w:val="24"/>
          <w:highlight w:val="none"/>
        </w:rPr>
      </w:pPr>
    </w:p>
    <w:p>
      <w:pPr>
        <w:pStyle w:val="10"/>
        <w:tabs>
          <w:tab w:val="left" w:pos="5580"/>
        </w:tabs>
        <w:spacing w:line="360" w:lineRule="auto"/>
        <w:rPr>
          <w:rFonts w:hAnsi="宋体"/>
          <w:color w:val="auto"/>
          <w:sz w:val="24"/>
          <w:szCs w:val="24"/>
          <w:highlight w:val="none"/>
        </w:rPr>
      </w:pPr>
    </w:p>
    <w:bookmarkEnd w:id="98"/>
    <w:bookmarkEnd w:id="99"/>
    <w:bookmarkEnd w:id="100"/>
    <w:bookmarkEnd w:id="101"/>
    <w:bookmarkEnd w:id="102"/>
    <w:bookmarkEnd w:id="103"/>
    <w:bookmarkEnd w:id="104"/>
    <w:bookmarkEnd w:id="105"/>
    <w:bookmarkEnd w:id="106"/>
    <w:bookmarkEnd w:id="107"/>
    <w:bookmarkEnd w:id="108"/>
    <w:bookmarkEnd w:id="109"/>
    <w:bookmarkEnd w:id="110"/>
    <w:p>
      <w:pPr>
        <w:pStyle w:val="10"/>
        <w:tabs>
          <w:tab w:val="left" w:pos="5580"/>
        </w:tabs>
        <w:spacing w:line="400" w:lineRule="exact"/>
        <w:rPr>
          <w:rFonts w:hint="eastAsia" w:hAnsi="宋体"/>
          <w:b/>
          <w:color w:val="auto"/>
          <w:sz w:val="24"/>
          <w:szCs w:val="24"/>
          <w:highlight w:val="none"/>
        </w:rPr>
      </w:pPr>
      <w:bookmarkStart w:id="111" w:name="_Toc495679419"/>
    </w:p>
    <w:p>
      <w:pPr>
        <w:pStyle w:val="10"/>
        <w:tabs>
          <w:tab w:val="left" w:pos="5580"/>
        </w:tabs>
        <w:spacing w:line="400" w:lineRule="exact"/>
        <w:rPr>
          <w:rFonts w:hint="eastAsia" w:hAnsi="宋体"/>
          <w:b/>
          <w:color w:val="auto"/>
          <w:sz w:val="24"/>
          <w:szCs w:val="24"/>
          <w:highlight w:val="none"/>
        </w:rPr>
      </w:pPr>
    </w:p>
    <w:p>
      <w:pPr>
        <w:pStyle w:val="10"/>
        <w:tabs>
          <w:tab w:val="left" w:pos="5580"/>
        </w:tabs>
        <w:spacing w:line="400" w:lineRule="exact"/>
        <w:rPr>
          <w:rFonts w:hint="eastAsia" w:hAnsi="宋体"/>
          <w:b/>
          <w:color w:val="auto"/>
          <w:sz w:val="24"/>
          <w:szCs w:val="24"/>
          <w:highlight w:val="none"/>
        </w:rPr>
      </w:pPr>
    </w:p>
    <w:p>
      <w:pPr>
        <w:pStyle w:val="10"/>
        <w:tabs>
          <w:tab w:val="left" w:pos="5580"/>
        </w:tabs>
        <w:spacing w:line="400" w:lineRule="exact"/>
        <w:rPr>
          <w:rFonts w:hint="eastAsia" w:hAnsi="宋体"/>
          <w:b/>
          <w:color w:val="auto"/>
          <w:sz w:val="24"/>
          <w:szCs w:val="24"/>
          <w:highlight w:val="none"/>
        </w:rPr>
      </w:pPr>
    </w:p>
    <w:p>
      <w:pPr>
        <w:pStyle w:val="10"/>
        <w:tabs>
          <w:tab w:val="left" w:pos="5580"/>
        </w:tabs>
        <w:spacing w:line="400" w:lineRule="exact"/>
        <w:jc w:val="center"/>
        <w:outlineLvl w:val="0"/>
        <w:rPr>
          <w:rFonts w:hint="eastAsia" w:hAnsi="宋体"/>
          <w:b/>
          <w:color w:val="auto"/>
          <w:sz w:val="28"/>
          <w:szCs w:val="28"/>
          <w:highlight w:val="none"/>
        </w:rPr>
      </w:pPr>
      <w:bookmarkStart w:id="112" w:name="_Toc13546"/>
      <w:r>
        <w:rPr>
          <w:rFonts w:hint="eastAsia" w:hAnsi="宋体"/>
          <w:b/>
          <w:color w:val="auto"/>
          <w:sz w:val="28"/>
          <w:szCs w:val="28"/>
          <w:highlight w:val="none"/>
        </w:rPr>
        <w:t>四、</w:t>
      </w:r>
      <w:bookmarkEnd w:id="111"/>
      <w:bookmarkStart w:id="113" w:name="_Toc183588718"/>
      <w:r>
        <w:rPr>
          <w:rFonts w:hint="eastAsia" w:hAnsi="宋体"/>
          <w:b/>
          <w:color w:val="auto"/>
          <w:sz w:val="28"/>
          <w:szCs w:val="28"/>
          <w:highlight w:val="none"/>
        </w:rPr>
        <w:t>供应商资格要求证明材料</w:t>
      </w:r>
      <w:bookmarkEnd w:id="112"/>
    </w:p>
    <w:p>
      <w:pPr>
        <w:pStyle w:val="10"/>
        <w:tabs>
          <w:tab w:val="left" w:pos="5580"/>
        </w:tabs>
        <w:spacing w:line="360" w:lineRule="auto"/>
        <w:rPr>
          <w:rFonts w:hAnsi="宋体"/>
          <w:color w:val="auto"/>
          <w:sz w:val="24"/>
          <w:szCs w:val="24"/>
          <w:highlight w:val="none"/>
        </w:rPr>
      </w:pPr>
    </w:p>
    <w:p>
      <w:pPr>
        <w:pStyle w:val="10"/>
        <w:tabs>
          <w:tab w:val="left" w:pos="5580"/>
        </w:tabs>
        <w:spacing w:line="320" w:lineRule="exact"/>
        <w:ind w:firstLine="1181" w:firstLineChars="490"/>
        <w:rPr>
          <w:rFonts w:hAnsi="宋体"/>
          <w:b/>
          <w:color w:val="auto"/>
          <w:sz w:val="24"/>
          <w:szCs w:val="24"/>
          <w:highlight w:val="none"/>
        </w:rPr>
      </w:pPr>
    </w:p>
    <w:bookmarkEnd w:id="113"/>
    <w:p>
      <w:pPr>
        <w:rPr>
          <w:color w:val="auto"/>
          <w:sz w:val="24"/>
          <w:szCs w:val="24"/>
          <w:highlight w:val="none"/>
        </w:rPr>
      </w:pPr>
    </w:p>
    <w:p>
      <w:pPr>
        <w:spacing w:line="360" w:lineRule="auto"/>
        <w:ind w:firstLine="482" w:firstLineChars="200"/>
        <w:jc w:val="center"/>
        <w:outlineLvl w:val="9"/>
        <w:rPr>
          <w:rFonts w:hAnsi="宋体"/>
          <w:b/>
          <w:color w:val="auto"/>
          <w:sz w:val="24"/>
          <w:szCs w:val="24"/>
          <w:highlight w:val="none"/>
        </w:rPr>
      </w:pPr>
    </w:p>
    <w:p>
      <w:pPr>
        <w:spacing w:line="360" w:lineRule="auto"/>
        <w:ind w:firstLine="482" w:firstLineChars="200"/>
        <w:jc w:val="center"/>
        <w:outlineLvl w:val="9"/>
        <w:rPr>
          <w:rFonts w:hAnsi="宋体"/>
          <w:b/>
          <w:color w:val="auto"/>
          <w:sz w:val="24"/>
          <w:szCs w:val="24"/>
          <w:highlight w:val="none"/>
        </w:rPr>
      </w:pPr>
    </w:p>
    <w:p>
      <w:pPr>
        <w:spacing w:line="360" w:lineRule="auto"/>
        <w:ind w:firstLine="482" w:firstLineChars="200"/>
        <w:jc w:val="center"/>
        <w:outlineLvl w:val="9"/>
        <w:rPr>
          <w:rFonts w:hAnsi="宋体"/>
          <w:b/>
          <w:color w:val="auto"/>
          <w:sz w:val="24"/>
          <w:szCs w:val="24"/>
          <w:highlight w:val="none"/>
        </w:rPr>
      </w:pPr>
    </w:p>
    <w:p>
      <w:pPr>
        <w:spacing w:line="360" w:lineRule="auto"/>
        <w:ind w:firstLine="482" w:firstLineChars="200"/>
        <w:jc w:val="center"/>
        <w:outlineLvl w:val="9"/>
        <w:rPr>
          <w:rFonts w:hAnsi="宋体"/>
          <w:b/>
          <w:color w:val="auto"/>
          <w:sz w:val="24"/>
          <w:szCs w:val="24"/>
          <w:highlight w:val="none"/>
        </w:rPr>
      </w:pPr>
    </w:p>
    <w:p>
      <w:pPr>
        <w:spacing w:line="360" w:lineRule="auto"/>
        <w:ind w:firstLine="482" w:firstLineChars="200"/>
        <w:jc w:val="center"/>
        <w:outlineLvl w:val="9"/>
        <w:rPr>
          <w:rFonts w:hAnsi="宋体"/>
          <w:b/>
          <w:color w:val="auto"/>
          <w:sz w:val="24"/>
          <w:szCs w:val="24"/>
          <w:highlight w:val="none"/>
        </w:rPr>
      </w:pPr>
    </w:p>
    <w:p>
      <w:pPr>
        <w:jc w:val="center"/>
        <w:rPr>
          <w:rFonts w:hint="eastAsia" w:hAnsi="宋体"/>
          <w:b/>
          <w:color w:val="auto"/>
          <w:sz w:val="32"/>
          <w:szCs w:val="32"/>
          <w:highlight w:val="none"/>
        </w:rPr>
      </w:pPr>
    </w:p>
    <w:p>
      <w:pPr>
        <w:jc w:val="center"/>
        <w:rPr>
          <w:rFonts w:hint="eastAsia" w:hAnsi="宋体"/>
          <w:b/>
          <w:color w:val="auto"/>
          <w:sz w:val="32"/>
          <w:szCs w:val="32"/>
          <w:highlight w:val="none"/>
        </w:rPr>
      </w:pPr>
    </w:p>
    <w:p>
      <w:pPr>
        <w:jc w:val="center"/>
        <w:rPr>
          <w:rFonts w:hint="eastAsia" w:hAnsi="宋体"/>
          <w:b/>
          <w:color w:val="auto"/>
          <w:sz w:val="32"/>
          <w:szCs w:val="32"/>
          <w:highlight w:val="none"/>
        </w:rPr>
      </w:pPr>
    </w:p>
    <w:p>
      <w:pPr>
        <w:jc w:val="center"/>
        <w:rPr>
          <w:rFonts w:hint="eastAsia" w:hAnsi="宋体"/>
          <w:b/>
          <w:color w:val="auto"/>
          <w:sz w:val="32"/>
          <w:szCs w:val="32"/>
          <w:highlight w:val="none"/>
        </w:rPr>
      </w:pPr>
    </w:p>
    <w:p>
      <w:pPr>
        <w:jc w:val="center"/>
        <w:rPr>
          <w:rFonts w:hint="eastAsia" w:hAnsi="宋体"/>
          <w:b/>
          <w:color w:val="auto"/>
          <w:sz w:val="32"/>
          <w:szCs w:val="32"/>
          <w:highlight w:val="none"/>
        </w:rPr>
      </w:pPr>
    </w:p>
    <w:p>
      <w:pPr>
        <w:jc w:val="center"/>
        <w:rPr>
          <w:rFonts w:hint="eastAsia" w:hAnsi="宋体"/>
          <w:b/>
          <w:color w:val="auto"/>
          <w:sz w:val="32"/>
          <w:szCs w:val="32"/>
          <w:highlight w:val="none"/>
        </w:rPr>
      </w:pPr>
    </w:p>
    <w:p>
      <w:pPr>
        <w:jc w:val="center"/>
        <w:rPr>
          <w:rFonts w:hint="eastAsia" w:hAnsi="宋体"/>
          <w:b/>
          <w:color w:val="auto"/>
          <w:sz w:val="32"/>
          <w:szCs w:val="32"/>
          <w:highlight w:val="none"/>
        </w:rPr>
      </w:pPr>
    </w:p>
    <w:p>
      <w:pPr>
        <w:snapToGrid w:val="0"/>
        <w:spacing w:line="360" w:lineRule="auto"/>
        <w:jc w:val="center"/>
        <w:rPr>
          <w:rFonts w:hint="eastAsia" w:hAnsi="宋体"/>
          <w:b/>
          <w:color w:val="auto"/>
          <w:sz w:val="32"/>
          <w:szCs w:val="32"/>
          <w:highlight w:val="none"/>
        </w:rPr>
      </w:pPr>
    </w:p>
    <w:p>
      <w:pPr>
        <w:snapToGrid w:val="0"/>
        <w:spacing w:line="360" w:lineRule="auto"/>
        <w:jc w:val="center"/>
        <w:rPr>
          <w:rFonts w:hint="eastAsia" w:hAnsi="宋体"/>
          <w:b/>
          <w:color w:val="auto"/>
          <w:sz w:val="32"/>
          <w:szCs w:val="32"/>
          <w:highlight w:val="none"/>
        </w:rPr>
      </w:pPr>
    </w:p>
    <w:p>
      <w:pPr>
        <w:snapToGrid w:val="0"/>
        <w:spacing w:line="360" w:lineRule="auto"/>
        <w:jc w:val="center"/>
        <w:rPr>
          <w:rFonts w:hint="eastAsia" w:hAnsi="宋体"/>
          <w:b/>
          <w:color w:val="auto"/>
          <w:sz w:val="32"/>
          <w:szCs w:val="32"/>
          <w:highlight w:val="none"/>
        </w:rPr>
      </w:pPr>
    </w:p>
    <w:p>
      <w:pPr>
        <w:snapToGrid w:val="0"/>
        <w:spacing w:line="360" w:lineRule="auto"/>
        <w:jc w:val="center"/>
        <w:rPr>
          <w:rFonts w:hint="eastAsia" w:hAnsi="宋体"/>
          <w:b/>
          <w:color w:val="auto"/>
          <w:sz w:val="32"/>
          <w:szCs w:val="32"/>
          <w:highlight w:val="none"/>
        </w:rPr>
      </w:pPr>
    </w:p>
    <w:p>
      <w:pPr>
        <w:snapToGrid w:val="0"/>
        <w:spacing w:line="360" w:lineRule="auto"/>
        <w:jc w:val="center"/>
        <w:rPr>
          <w:rFonts w:hint="eastAsia" w:hAnsi="宋体"/>
          <w:b/>
          <w:color w:val="auto"/>
          <w:sz w:val="32"/>
          <w:szCs w:val="32"/>
          <w:highlight w:val="none"/>
        </w:rPr>
      </w:pPr>
    </w:p>
    <w:p>
      <w:pPr>
        <w:snapToGrid w:val="0"/>
        <w:spacing w:line="360" w:lineRule="auto"/>
        <w:jc w:val="center"/>
        <w:rPr>
          <w:rFonts w:hint="eastAsia" w:hAnsi="宋体"/>
          <w:b/>
          <w:color w:val="auto"/>
          <w:sz w:val="32"/>
          <w:szCs w:val="32"/>
          <w:highlight w:val="none"/>
        </w:rPr>
      </w:pPr>
    </w:p>
    <w:p>
      <w:pPr>
        <w:snapToGrid w:val="0"/>
        <w:spacing w:line="360" w:lineRule="auto"/>
        <w:jc w:val="center"/>
        <w:rPr>
          <w:rFonts w:hint="eastAsia" w:hAnsi="宋体"/>
          <w:b/>
          <w:color w:val="auto"/>
          <w:sz w:val="32"/>
          <w:szCs w:val="32"/>
          <w:highlight w:val="none"/>
        </w:rPr>
      </w:pPr>
    </w:p>
    <w:p>
      <w:pPr>
        <w:snapToGrid w:val="0"/>
        <w:spacing w:line="360" w:lineRule="auto"/>
        <w:jc w:val="center"/>
        <w:rPr>
          <w:rFonts w:hint="eastAsia" w:hAnsi="宋体"/>
          <w:b/>
          <w:color w:val="auto"/>
          <w:sz w:val="32"/>
          <w:szCs w:val="32"/>
          <w:highlight w:val="none"/>
        </w:rPr>
      </w:pPr>
    </w:p>
    <w:p>
      <w:pPr>
        <w:snapToGrid w:val="0"/>
        <w:spacing w:line="360" w:lineRule="auto"/>
        <w:jc w:val="both"/>
        <w:rPr>
          <w:rFonts w:hint="eastAsia" w:hAnsi="宋体"/>
          <w:b/>
          <w:color w:val="auto"/>
          <w:sz w:val="32"/>
          <w:szCs w:val="32"/>
          <w:highlight w:val="none"/>
        </w:rPr>
      </w:pPr>
    </w:p>
    <w:p>
      <w:pPr>
        <w:snapToGrid w:val="0"/>
        <w:spacing w:line="360" w:lineRule="auto"/>
        <w:jc w:val="center"/>
        <w:rPr>
          <w:rFonts w:hAnsi="宋体" w:cs="宋体"/>
          <w:color w:val="auto"/>
          <w:sz w:val="24"/>
          <w:szCs w:val="24"/>
        </w:rPr>
      </w:pPr>
      <w:bookmarkStart w:id="114" w:name="_Toc13979"/>
      <w:r>
        <w:rPr>
          <w:rFonts w:hint="eastAsia" w:hAnsi="宋体"/>
          <w:b/>
          <w:color w:val="auto"/>
          <w:sz w:val="32"/>
          <w:szCs w:val="32"/>
          <w:highlight w:val="none"/>
        </w:rPr>
        <w:t>五、</w:t>
      </w:r>
      <w:bookmarkEnd w:id="114"/>
      <w:r>
        <w:rPr>
          <w:rFonts w:hint="eastAsia" w:hAnsi="宋体"/>
          <w:b/>
          <w:color w:val="auto"/>
          <w:sz w:val="32"/>
          <w:szCs w:val="32"/>
          <w:highlight w:val="none"/>
          <w:lang w:val="en-US" w:eastAsia="zh-CN"/>
        </w:rPr>
        <w:t>采购</w:t>
      </w:r>
      <w:r>
        <w:rPr>
          <w:rFonts w:hint="eastAsia" w:hAnsi="宋体" w:cs="宋体"/>
          <w:b/>
          <w:color w:val="auto"/>
          <w:sz w:val="32"/>
          <w:szCs w:val="32"/>
        </w:rPr>
        <w:t>需求书响应表</w:t>
      </w:r>
    </w:p>
    <w:p>
      <w:pPr>
        <w:widowControl/>
        <w:tabs>
          <w:tab w:val="left" w:pos="900"/>
        </w:tabs>
        <w:spacing w:line="360" w:lineRule="auto"/>
        <w:ind w:left="420"/>
        <w:jc w:val="left"/>
        <w:rPr>
          <w:rFonts w:hAnsi="宋体" w:cs="宋体"/>
          <w:color w:val="auto"/>
          <w:sz w:val="24"/>
          <w:szCs w:val="24"/>
        </w:rPr>
      </w:pPr>
    </w:p>
    <w:p>
      <w:pPr>
        <w:spacing w:before="19" w:line="360" w:lineRule="auto"/>
        <w:rPr>
          <w:rFonts w:hAnsi="宋体" w:cs="宋体"/>
          <w:color w:val="auto"/>
          <w:sz w:val="24"/>
          <w:u w:val="single"/>
        </w:rPr>
      </w:pPr>
      <w:r>
        <w:rPr>
          <w:rFonts w:hint="eastAsia" w:hAnsi="宋体" w:cs="宋体"/>
          <w:color w:val="auto"/>
          <w:sz w:val="24"/>
        </w:rPr>
        <w:t>项目名称：</w:t>
      </w:r>
    </w:p>
    <w:p>
      <w:pPr>
        <w:snapToGrid w:val="0"/>
        <w:spacing w:line="360" w:lineRule="auto"/>
        <w:rPr>
          <w:rFonts w:hint="eastAsia" w:hAnsi="宋体" w:cs="宋体"/>
          <w:color w:val="auto"/>
          <w:sz w:val="24"/>
        </w:rPr>
      </w:pPr>
      <w:r>
        <w:rPr>
          <w:rFonts w:hint="eastAsia" w:hAnsi="宋体" w:cs="宋体"/>
          <w:color w:val="auto"/>
          <w:sz w:val="24"/>
        </w:rPr>
        <w:t xml:space="preserve">项目编号： </w:t>
      </w:r>
    </w:p>
    <w:p>
      <w:pPr>
        <w:snapToGrid w:val="0"/>
        <w:spacing w:line="360" w:lineRule="auto"/>
        <w:rPr>
          <w:rFonts w:hAnsi="宋体" w:cs="宋体"/>
          <w:color w:val="auto"/>
          <w:sz w:val="24"/>
        </w:rPr>
      </w:pPr>
      <w:r>
        <w:rPr>
          <w:rFonts w:hint="eastAsia" w:hAnsi="宋体" w:cs="宋体"/>
          <w:color w:val="auto"/>
          <w:sz w:val="24"/>
          <w:lang w:val="en-US" w:eastAsia="zh-CN"/>
        </w:rPr>
        <w:t>包号：</w:t>
      </w:r>
      <w:r>
        <w:rPr>
          <w:rFonts w:hint="eastAsia" w:hAnsi="宋体" w:cs="宋体"/>
          <w:color w:val="auto"/>
          <w:sz w:val="24"/>
        </w:rPr>
        <w:t xml:space="preserve">                             </w:t>
      </w:r>
    </w:p>
    <w:p>
      <w:pPr>
        <w:snapToGrid w:val="0"/>
        <w:spacing w:line="360" w:lineRule="auto"/>
        <w:ind w:firstLine="480" w:firstLineChars="200"/>
        <w:rPr>
          <w:rFonts w:hAnsi="宋体" w:cs="宋体"/>
          <w:color w:val="auto"/>
          <w:sz w:val="24"/>
          <w:u w:val="single"/>
        </w:rPr>
      </w:pPr>
      <w:r>
        <w:rPr>
          <w:rFonts w:hint="eastAsia" w:hAnsi="宋体" w:cs="宋体"/>
          <w:color w:val="auto"/>
          <w:sz w:val="24"/>
        </w:rPr>
        <w:t>说明</w:t>
      </w:r>
      <w:r>
        <w:rPr>
          <w:rFonts w:hint="eastAsia" w:hAnsi="宋体" w:cs="宋体"/>
          <w:color w:val="auto"/>
          <w:sz w:val="24"/>
          <w:szCs w:val="24"/>
        </w:rPr>
        <w:t>：供应商必须仔细阅读《磋商文件》第三章“采购需求书”中商务、技术等要求，并对所有商务、技术规范响应情况列入下表，</w:t>
      </w:r>
      <w:r>
        <w:rPr>
          <w:rFonts w:hint="eastAsia" w:hAnsi="宋体" w:cs="宋体"/>
          <w:b/>
          <w:bCs/>
          <w:color w:val="auto"/>
          <w:sz w:val="24"/>
          <w:szCs w:val="24"/>
        </w:rPr>
        <w:t>未列入下表的视作供应商不响应</w:t>
      </w:r>
      <w:r>
        <w:rPr>
          <w:rFonts w:hint="eastAsia" w:hAnsi="宋体" w:cs="宋体"/>
          <w:color w:val="auto"/>
          <w:sz w:val="24"/>
          <w:szCs w:val="24"/>
        </w:rPr>
        <w:t>；</w:t>
      </w:r>
      <w:r>
        <w:rPr>
          <w:rFonts w:hint="eastAsia" w:hAnsi="宋体" w:cs="宋体"/>
          <w:bCs/>
          <w:color w:val="auto"/>
          <w:sz w:val="24"/>
          <w:szCs w:val="24"/>
          <w:u w:val="single"/>
        </w:rPr>
        <w:t>供应商必须根据所投产品的实际情况如实填写，磋商小组如发现有虚假描述的，该响应文件作无效投标处理。</w:t>
      </w:r>
    </w:p>
    <w:tbl>
      <w:tblPr>
        <w:tblStyle w:val="17"/>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694"/>
        <w:gridCol w:w="2268"/>
        <w:gridCol w:w="1499"/>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631" w:type="dxa"/>
            <w:shd w:val="clear" w:color="auto" w:fill="D9D9D9"/>
            <w:vAlign w:val="center"/>
          </w:tcPr>
          <w:p>
            <w:pPr>
              <w:snapToGrid w:val="0"/>
              <w:jc w:val="center"/>
              <w:rPr>
                <w:rFonts w:hAnsi="宋体" w:cs="宋体"/>
                <w:color w:val="auto"/>
                <w:sz w:val="24"/>
                <w:szCs w:val="24"/>
              </w:rPr>
            </w:pPr>
            <w:r>
              <w:rPr>
                <w:rFonts w:hint="eastAsia" w:hAnsi="宋体" w:cs="宋体"/>
                <w:color w:val="auto"/>
                <w:sz w:val="24"/>
                <w:szCs w:val="24"/>
              </w:rPr>
              <w:t>序号</w:t>
            </w:r>
          </w:p>
        </w:tc>
        <w:tc>
          <w:tcPr>
            <w:tcW w:w="2694" w:type="dxa"/>
            <w:shd w:val="clear" w:color="auto" w:fill="D9D9D9"/>
            <w:vAlign w:val="center"/>
          </w:tcPr>
          <w:p>
            <w:pPr>
              <w:snapToGrid w:val="0"/>
              <w:jc w:val="center"/>
              <w:rPr>
                <w:rFonts w:hAnsi="宋体" w:cs="宋体"/>
                <w:color w:val="auto"/>
                <w:sz w:val="24"/>
                <w:szCs w:val="24"/>
              </w:rPr>
            </w:pPr>
            <w:r>
              <w:rPr>
                <w:rFonts w:hint="eastAsia" w:hAnsi="宋体" w:cs="宋体"/>
                <w:color w:val="auto"/>
                <w:sz w:val="24"/>
                <w:szCs w:val="24"/>
              </w:rPr>
              <w:t>磋商文件“</w:t>
            </w:r>
            <w:r>
              <w:rPr>
                <w:rFonts w:hint="eastAsia" w:hAnsi="宋体" w:cs="宋体"/>
                <w:color w:val="auto"/>
                <w:sz w:val="24"/>
                <w:szCs w:val="24"/>
                <w:lang w:val="en-US" w:eastAsia="zh-CN"/>
              </w:rPr>
              <w:t>采购</w:t>
            </w:r>
            <w:r>
              <w:rPr>
                <w:rFonts w:hint="eastAsia" w:hAnsi="宋体" w:cs="宋体"/>
                <w:color w:val="auto"/>
                <w:sz w:val="24"/>
                <w:szCs w:val="24"/>
              </w:rPr>
              <w:t>需求书”需求描述</w:t>
            </w:r>
          </w:p>
        </w:tc>
        <w:tc>
          <w:tcPr>
            <w:tcW w:w="2268" w:type="dxa"/>
            <w:shd w:val="clear" w:color="auto" w:fill="D9D9D9"/>
            <w:vAlign w:val="center"/>
          </w:tcPr>
          <w:p>
            <w:pPr>
              <w:snapToGrid w:val="0"/>
              <w:jc w:val="center"/>
              <w:rPr>
                <w:rFonts w:hAnsi="宋体" w:cs="宋体"/>
                <w:color w:val="auto"/>
                <w:sz w:val="24"/>
                <w:szCs w:val="24"/>
              </w:rPr>
            </w:pPr>
            <w:r>
              <w:rPr>
                <w:rFonts w:hint="eastAsia" w:hAnsi="宋体" w:cs="宋体"/>
                <w:color w:val="auto"/>
                <w:sz w:val="24"/>
                <w:szCs w:val="24"/>
              </w:rPr>
              <w:t>供应商响应情况（逐条对应编写）</w:t>
            </w:r>
          </w:p>
        </w:tc>
        <w:tc>
          <w:tcPr>
            <w:tcW w:w="1499" w:type="dxa"/>
            <w:shd w:val="clear" w:color="auto" w:fill="D9D9D9"/>
            <w:vAlign w:val="center"/>
          </w:tcPr>
          <w:p>
            <w:pPr>
              <w:snapToGrid w:val="0"/>
              <w:jc w:val="center"/>
              <w:rPr>
                <w:rFonts w:hAnsi="宋体" w:cs="宋体"/>
                <w:color w:val="auto"/>
                <w:sz w:val="24"/>
                <w:szCs w:val="24"/>
              </w:rPr>
            </w:pPr>
            <w:r>
              <w:rPr>
                <w:rFonts w:hint="eastAsia" w:hAnsi="宋体" w:cs="宋体"/>
                <w:color w:val="auto"/>
                <w:sz w:val="24"/>
                <w:szCs w:val="24"/>
              </w:rPr>
              <w:t>偏离情况（＋/-/=）</w:t>
            </w:r>
          </w:p>
        </w:tc>
        <w:tc>
          <w:tcPr>
            <w:tcW w:w="1272" w:type="dxa"/>
            <w:shd w:val="clear" w:color="auto" w:fill="D9D9D9"/>
            <w:vAlign w:val="center"/>
          </w:tcPr>
          <w:p>
            <w:pPr>
              <w:jc w:val="center"/>
              <w:rPr>
                <w:rFonts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1" w:type="dxa"/>
            <w:vAlign w:val="center"/>
          </w:tcPr>
          <w:p>
            <w:pPr>
              <w:jc w:val="center"/>
              <w:rPr>
                <w:rFonts w:hAnsi="宋体" w:cs="宋体"/>
                <w:color w:val="auto"/>
                <w:sz w:val="24"/>
                <w:szCs w:val="24"/>
              </w:rPr>
            </w:pPr>
            <w:r>
              <w:rPr>
                <w:rFonts w:hint="eastAsia" w:hAnsi="宋体" w:cs="宋体"/>
                <w:color w:val="auto"/>
                <w:sz w:val="24"/>
                <w:szCs w:val="24"/>
              </w:rPr>
              <w:t>1</w:t>
            </w:r>
          </w:p>
        </w:tc>
        <w:tc>
          <w:tcPr>
            <w:tcW w:w="2694" w:type="dxa"/>
            <w:vAlign w:val="center"/>
          </w:tcPr>
          <w:p>
            <w:pPr>
              <w:snapToGrid w:val="0"/>
              <w:jc w:val="left"/>
              <w:rPr>
                <w:rFonts w:hAnsi="宋体" w:cs="宋体"/>
                <w:color w:val="auto"/>
                <w:sz w:val="24"/>
                <w:szCs w:val="24"/>
              </w:rPr>
            </w:pPr>
          </w:p>
        </w:tc>
        <w:tc>
          <w:tcPr>
            <w:tcW w:w="2268" w:type="dxa"/>
            <w:vAlign w:val="center"/>
          </w:tcPr>
          <w:p>
            <w:pPr>
              <w:snapToGrid w:val="0"/>
              <w:jc w:val="center"/>
              <w:rPr>
                <w:rFonts w:hAnsi="宋体" w:cs="宋体"/>
                <w:color w:val="auto"/>
                <w:sz w:val="24"/>
                <w:szCs w:val="24"/>
              </w:rPr>
            </w:pPr>
          </w:p>
        </w:tc>
        <w:tc>
          <w:tcPr>
            <w:tcW w:w="1499" w:type="dxa"/>
            <w:vAlign w:val="center"/>
          </w:tcPr>
          <w:p>
            <w:pPr>
              <w:snapToGrid w:val="0"/>
              <w:jc w:val="center"/>
              <w:rPr>
                <w:rFonts w:hAnsi="宋体" w:cs="宋体"/>
                <w:color w:val="auto"/>
                <w:sz w:val="24"/>
                <w:szCs w:val="24"/>
              </w:rPr>
            </w:pPr>
          </w:p>
        </w:tc>
        <w:tc>
          <w:tcPr>
            <w:tcW w:w="1272" w:type="dxa"/>
            <w:vAlign w:val="center"/>
          </w:tcPr>
          <w:p>
            <w:pPr>
              <w:snapToGrid w:val="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1" w:type="dxa"/>
            <w:vAlign w:val="center"/>
          </w:tcPr>
          <w:p>
            <w:pPr>
              <w:jc w:val="center"/>
              <w:rPr>
                <w:rFonts w:hAnsi="宋体" w:cs="宋体"/>
                <w:color w:val="auto"/>
                <w:sz w:val="24"/>
                <w:szCs w:val="24"/>
              </w:rPr>
            </w:pPr>
            <w:r>
              <w:rPr>
                <w:rFonts w:hint="eastAsia" w:hAnsi="宋体" w:cs="宋体"/>
                <w:color w:val="auto"/>
                <w:sz w:val="24"/>
                <w:szCs w:val="24"/>
              </w:rPr>
              <w:t>2</w:t>
            </w:r>
          </w:p>
        </w:tc>
        <w:tc>
          <w:tcPr>
            <w:tcW w:w="2694" w:type="dxa"/>
            <w:vAlign w:val="center"/>
          </w:tcPr>
          <w:p>
            <w:pPr>
              <w:snapToGrid w:val="0"/>
              <w:jc w:val="center"/>
              <w:rPr>
                <w:rFonts w:hAnsi="宋体" w:cs="宋体"/>
                <w:color w:val="auto"/>
                <w:sz w:val="24"/>
                <w:szCs w:val="24"/>
              </w:rPr>
            </w:pPr>
          </w:p>
        </w:tc>
        <w:tc>
          <w:tcPr>
            <w:tcW w:w="2268" w:type="dxa"/>
            <w:vAlign w:val="center"/>
          </w:tcPr>
          <w:p>
            <w:pPr>
              <w:snapToGrid w:val="0"/>
              <w:jc w:val="center"/>
              <w:rPr>
                <w:rFonts w:hAnsi="宋体" w:cs="宋体"/>
                <w:color w:val="auto"/>
                <w:sz w:val="24"/>
                <w:szCs w:val="24"/>
              </w:rPr>
            </w:pPr>
          </w:p>
        </w:tc>
        <w:tc>
          <w:tcPr>
            <w:tcW w:w="1499" w:type="dxa"/>
            <w:vAlign w:val="center"/>
          </w:tcPr>
          <w:p>
            <w:pPr>
              <w:snapToGrid w:val="0"/>
              <w:jc w:val="center"/>
              <w:rPr>
                <w:rFonts w:hAnsi="宋体" w:cs="宋体"/>
                <w:color w:val="auto"/>
                <w:sz w:val="24"/>
                <w:szCs w:val="24"/>
              </w:rPr>
            </w:pPr>
          </w:p>
        </w:tc>
        <w:tc>
          <w:tcPr>
            <w:tcW w:w="1272" w:type="dxa"/>
            <w:vAlign w:val="center"/>
          </w:tcPr>
          <w:p>
            <w:pPr>
              <w:snapToGrid w:val="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1" w:type="dxa"/>
            <w:vAlign w:val="center"/>
          </w:tcPr>
          <w:p>
            <w:pPr>
              <w:jc w:val="center"/>
              <w:rPr>
                <w:rFonts w:hAnsi="宋体" w:cs="宋体"/>
                <w:color w:val="auto"/>
                <w:sz w:val="24"/>
                <w:szCs w:val="24"/>
              </w:rPr>
            </w:pPr>
            <w:r>
              <w:rPr>
                <w:rFonts w:hint="eastAsia" w:hAnsi="宋体" w:cs="宋体"/>
                <w:color w:val="auto"/>
                <w:sz w:val="24"/>
                <w:szCs w:val="24"/>
              </w:rPr>
              <w:t>……</w:t>
            </w:r>
          </w:p>
        </w:tc>
        <w:tc>
          <w:tcPr>
            <w:tcW w:w="2694" w:type="dxa"/>
            <w:vAlign w:val="center"/>
          </w:tcPr>
          <w:p>
            <w:pPr>
              <w:snapToGrid w:val="0"/>
              <w:jc w:val="center"/>
              <w:rPr>
                <w:rFonts w:hAnsi="宋体" w:cs="宋体"/>
                <w:color w:val="auto"/>
                <w:sz w:val="24"/>
                <w:szCs w:val="24"/>
              </w:rPr>
            </w:pPr>
          </w:p>
        </w:tc>
        <w:tc>
          <w:tcPr>
            <w:tcW w:w="2268" w:type="dxa"/>
            <w:vAlign w:val="center"/>
          </w:tcPr>
          <w:p>
            <w:pPr>
              <w:snapToGrid w:val="0"/>
              <w:jc w:val="center"/>
              <w:rPr>
                <w:rFonts w:hAnsi="宋体" w:cs="宋体"/>
                <w:color w:val="auto"/>
                <w:sz w:val="24"/>
                <w:szCs w:val="24"/>
              </w:rPr>
            </w:pPr>
          </w:p>
        </w:tc>
        <w:tc>
          <w:tcPr>
            <w:tcW w:w="1499" w:type="dxa"/>
            <w:vAlign w:val="center"/>
          </w:tcPr>
          <w:p>
            <w:pPr>
              <w:snapToGrid w:val="0"/>
              <w:jc w:val="center"/>
              <w:rPr>
                <w:rFonts w:hAnsi="宋体" w:cs="宋体"/>
                <w:color w:val="auto"/>
                <w:sz w:val="24"/>
                <w:szCs w:val="24"/>
              </w:rPr>
            </w:pPr>
          </w:p>
        </w:tc>
        <w:tc>
          <w:tcPr>
            <w:tcW w:w="1272" w:type="dxa"/>
            <w:vAlign w:val="center"/>
          </w:tcPr>
          <w:p>
            <w:pPr>
              <w:snapToGrid w:val="0"/>
              <w:jc w:val="center"/>
              <w:rPr>
                <w:rFonts w:hAnsi="宋体" w:cs="宋体"/>
                <w:color w:val="auto"/>
                <w:sz w:val="24"/>
                <w:szCs w:val="24"/>
              </w:rPr>
            </w:pPr>
          </w:p>
        </w:tc>
      </w:tr>
    </w:tbl>
    <w:p>
      <w:pPr>
        <w:snapToGrid w:val="0"/>
        <w:spacing w:line="360" w:lineRule="auto"/>
        <w:rPr>
          <w:rFonts w:hAnsi="宋体" w:cs="宋体"/>
          <w:color w:val="auto"/>
          <w:sz w:val="24"/>
          <w:szCs w:val="24"/>
        </w:rPr>
      </w:pPr>
    </w:p>
    <w:p>
      <w:pPr>
        <w:snapToGrid w:val="0"/>
        <w:spacing w:line="360" w:lineRule="auto"/>
        <w:rPr>
          <w:rFonts w:hAnsi="宋体" w:cs="宋体"/>
          <w:color w:val="auto"/>
          <w:sz w:val="24"/>
        </w:rPr>
      </w:pPr>
      <w:r>
        <w:rPr>
          <w:rFonts w:hint="eastAsia" w:hAnsi="宋体" w:cs="宋体"/>
          <w:color w:val="auto"/>
          <w:sz w:val="24"/>
          <w:szCs w:val="24"/>
        </w:rPr>
        <w:t>供应商</w:t>
      </w:r>
      <w:r>
        <w:rPr>
          <w:rFonts w:hint="eastAsia" w:hAnsi="宋体" w:cs="宋体"/>
          <w:color w:val="auto"/>
          <w:sz w:val="24"/>
        </w:rPr>
        <w:t>全称（公章）：                       授权代表（签字）：</w:t>
      </w:r>
    </w:p>
    <w:p>
      <w:pPr>
        <w:tabs>
          <w:tab w:val="left" w:pos="11130"/>
        </w:tabs>
        <w:snapToGrid w:val="0"/>
        <w:spacing w:line="360" w:lineRule="auto"/>
        <w:ind w:firstLine="120" w:firstLineChars="50"/>
        <w:rPr>
          <w:rFonts w:hAnsi="宋体" w:cs="宋体"/>
          <w:color w:val="auto"/>
          <w:sz w:val="24"/>
        </w:rPr>
      </w:pPr>
      <w:r>
        <w:rPr>
          <w:rFonts w:hint="eastAsia" w:hAnsi="宋体" w:cs="宋体"/>
          <w:color w:val="auto"/>
          <w:sz w:val="24"/>
        </w:rPr>
        <w:t>日期：</w:t>
      </w:r>
    </w:p>
    <w:p>
      <w:pPr>
        <w:rPr>
          <w:rFonts w:hAnsi="宋体" w:cs="宋体"/>
          <w:color w:val="auto"/>
          <w:sz w:val="24"/>
        </w:rPr>
      </w:pPr>
      <w:r>
        <w:rPr>
          <w:rFonts w:hint="eastAsia" w:hAnsi="宋体" w:cs="宋体"/>
          <w:color w:val="auto"/>
          <w:sz w:val="24"/>
        </w:rPr>
        <w:t>注：1、此表为表样，行数可自行添加，但表式不变。</w:t>
      </w:r>
      <w:r>
        <w:rPr>
          <w:rFonts w:hint="eastAsia" w:hAnsi="宋体" w:cs="宋体"/>
          <w:color w:val="auto"/>
          <w:sz w:val="24"/>
        </w:rPr>
        <w:tab/>
      </w:r>
    </w:p>
    <w:p>
      <w:pPr>
        <w:numPr>
          <w:ilvl w:val="0"/>
          <w:numId w:val="12"/>
        </w:numPr>
        <w:spacing w:line="360" w:lineRule="auto"/>
        <w:ind w:firstLine="480" w:firstLineChars="200"/>
        <w:rPr>
          <w:rFonts w:hAnsi="宋体" w:cs="宋体"/>
          <w:color w:val="auto"/>
          <w:sz w:val="24"/>
          <w:szCs w:val="24"/>
        </w:rPr>
      </w:pPr>
      <w:r>
        <w:rPr>
          <w:rFonts w:hint="eastAsia" w:hAnsi="宋体" w:cs="宋体"/>
          <w:color w:val="auto"/>
          <w:sz w:val="24"/>
          <w:szCs w:val="24"/>
        </w:rPr>
        <w:t>是否偏离用符号“+、=、-”分别表示正偏离、完全响应、负偏离，必须逐条对应编写；</w:t>
      </w:r>
    </w:p>
    <w:p>
      <w:pPr>
        <w:spacing w:line="360" w:lineRule="auto"/>
        <w:ind w:firstLine="480" w:firstLineChars="200"/>
        <w:rPr>
          <w:rFonts w:hAnsi="宋体"/>
          <w:color w:val="auto"/>
          <w:sz w:val="24"/>
        </w:rPr>
      </w:pPr>
      <w:r>
        <w:rPr>
          <w:rFonts w:hint="eastAsia" w:hAnsi="宋体" w:cs="宋体"/>
          <w:color w:val="auto"/>
          <w:sz w:val="24"/>
          <w:szCs w:val="24"/>
        </w:rPr>
        <w:t>3、</w:t>
      </w:r>
      <w:r>
        <w:rPr>
          <w:rFonts w:hint="eastAsia" w:hAnsi="宋体" w:cs="宋体"/>
          <w:b/>
          <w:bCs/>
          <w:color w:val="auto"/>
          <w:sz w:val="24"/>
          <w:szCs w:val="24"/>
        </w:rPr>
        <w:t>其他不列入本表的条款视作投标人不响应。</w:t>
      </w:r>
    </w:p>
    <w:p>
      <w:pPr>
        <w:pStyle w:val="2"/>
        <w:keepNext w:val="0"/>
        <w:keepLines w:val="0"/>
        <w:pageBreakBefore w:val="0"/>
        <w:widowControl w:val="0"/>
        <w:numPr>
          <w:ilvl w:val="0"/>
          <w:numId w:val="0"/>
        </w:numPr>
        <w:kinsoku/>
        <w:wordWrap/>
        <w:overflowPunct/>
        <w:topLinePunct w:val="0"/>
        <w:bidi w:val="0"/>
        <w:snapToGrid/>
        <w:spacing w:line="500" w:lineRule="exact"/>
        <w:textAlignment w:val="auto"/>
        <w:rPr>
          <w:rFonts w:hint="default"/>
          <w:b/>
          <w:bCs/>
          <w:color w:val="auto"/>
          <w:highlight w:val="none"/>
          <w:lang w:val="en-US" w:eastAsia="zh-CN"/>
        </w:rPr>
      </w:pPr>
    </w:p>
    <w:p>
      <w:pPr>
        <w:shd w:val="clear" w:color="auto" w:fill="auto"/>
        <w:spacing w:after="156" w:afterLines="50" w:line="440" w:lineRule="exact"/>
        <w:jc w:val="center"/>
        <w:rPr>
          <w:rFonts w:hint="default" w:ascii="宋体" w:hAnsi="宋体" w:eastAsia="宋体" w:cs="宋体"/>
          <w:b/>
          <w:bCs/>
          <w:color w:val="auto"/>
          <w:kern w:val="0"/>
          <w:sz w:val="36"/>
          <w:szCs w:val="36"/>
          <w:highlight w:val="none"/>
          <w:lang w:val="en-US" w:eastAsia="zh-CN"/>
        </w:rPr>
      </w:pPr>
      <w:bookmarkStart w:id="115" w:name="_Toc13914"/>
      <w:r>
        <w:rPr>
          <w:rFonts w:hint="eastAsia" w:hAnsi="宋体"/>
          <w:b/>
          <w:color w:val="auto"/>
          <w:sz w:val="32"/>
          <w:szCs w:val="32"/>
          <w:highlight w:val="none"/>
        </w:rPr>
        <w:br w:type="page"/>
      </w:r>
      <w:r>
        <w:rPr>
          <w:rFonts w:hint="eastAsia" w:hAnsi="宋体" w:cs="宋体"/>
          <w:b/>
          <w:bCs/>
          <w:color w:val="auto"/>
          <w:kern w:val="2"/>
          <w:sz w:val="32"/>
          <w:szCs w:val="32"/>
          <w:lang w:val="en-US" w:eastAsia="zh-CN" w:bidi="ar-SA"/>
        </w:rPr>
        <w:t>六</w:t>
      </w:r>
      <w:r>
        <w:rPr>
          <w:rFonts w:hint="eastAsia" w:ascii="宋体" w:hAnsi="宋体" w:eastAsia="宋体" w:cs="宋体"/>
          <w:b/>
          <w:bCs/>
          <w:color w:val="auto"/>
          <w:kern w:val="2"/>
          <w:sz w:val="32"/>
          <w:szCs w:val="32"/>
          <w:lang w:val="en-US" w:eastAsia="zh-CN" w:bidi="ar-SA"/>
        </w:rPr>
        <w:t>、优先中标包号选择承诺函</w:t>
      </w:r>
    </w:p>
    <w:p>
      <w:pPr>
        <w:pStyle w:val="7"/>
        <w:shd w:val="clear" w:color="auto" w:fill="auto"/>
        <w:jc w:val="left"/>
        <w:rPr>
          <w:rFonts w:hint="eastAsia" w:ascii="宋体" w:hAnsi="宋体" w:cs="宋体"/>
          <w:b/>
          <w:bCs/>
          <w:color w:val="auto"/>
          <w:sz w:val="24"/>
          <w:highlight w:val="none"/>
        </w:rPr>
      </w:pPr>
    </w:p>
    <w:p>
      <w:pPr>
        <w:pStyle w:val="7"/>
        <w:shd w:val="clear" w:color="auto" w:fill="auto"/>
        <w:jc w:val="left"/>
        <w:rPr>
          <w:rFonts w:ascii="宋体" w:hAnsi="宋体" w:cs="宋体"/>
          <w:b/>
          <w:bCs/>
          <w:color w:val="auto"/>
          <w:sz w:val="24"/>
          <w:highlight w:val="none"/>
        </w:rPr>
      </w:pPr>
      <w:r>
        <w:rPr>
          <w:rFonts w:hint="eastAsia" w:ascii="宋体" w:hAnsi="宋体" w:cs="宋体"/>
          <w:b/>
          <w:bCs/>
          <w:color w:val="auto"/>
          <w:sz w:val="24"/>
          <w:highlight w:val="none"/>
        </w:rPr>
        <w:t>海南</w:t>
      </w:r>
      <w:r>
        <w:rPr>
          <w:rFonts w:hint="eastAsia" w:ascii="宋体" w:hAnsi="宋体" w:cs="宋体"/>
          <w:b/>
          <w:bCs/>
          <w:color w:val="auto"/>
          <w:sz w:val="24"/>
          <w:highlight w:val="none"/>
          <w:lang w:val="en-US" w:eastAsia="zh-CN"/>
        </w:rPr>
        <w:t>和顺</w:t>
      </w:r>
      <w:r>
        <w:rPr>
          <w:rFonts w:hint="eastAsia" w:ascii="宋体" w:hAnsi="宋体" w:cs="宋体"/>
          <w:b/>
          <w:bCs/>
          <w:color w:val="auto"/>
          <w:sz w:val="24"/>
          <w:highlight w:val="none"/>
        </w:rPr>
        <w:t>项目管理有限公司：</w:t>
      </w:r>
    </w:p>
    <w:p>
      <w:pPr>
        <w:shd w:val="clear" w:color="auto" w:fill="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我公司参与贵单位</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GB"/>
        </w:rPr>
        <w:t>项目编号：</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包</w:t>
      </w:r>
      <w:r>
        <w:rPr>
          <w:rFonts w:hint="eastAsia" w:ascii="宋体" w:hAnsi="宋体" w:cs="宋体"/>
          <w:color w:val="auto"/>
          <w:sz w:val="24"/>
          <w:highlight w:val="none"/>
        </w:rPr>
        <w:t>的投标，如我司有幸同时中标</w:t>
      </w:r>
      <w:r>
        <w:rPr>
          <w:rFonts w:hint="eastAsia" w:ascii="宋体" w:hAnsi="宋体" w:cs="宋体"/>
          <w:b/>
          <w:color w:val="auto"/>
          <w:sz w:val="24"/>
          <w:highlight w:val="none"/>
          <w:u w:val="single"/>
        </w:rPr>
        <w:t>（根据各投标人所投的包号进行填写）</w:t>
      </w:r>
      <w:r>
        <w:rPr>
          <w:rFonts w:hint="eastAsia" w:ascii="宋体" w:hAnsi="宋体" w:cs="宋体"/>
          <w:b/>
          <w:bCs/>
          <w:color w:val="auto"/>
          <w:sz w:val="24"/>
          <w:highlight w:val="none"/>
        </w:rPr>
        <w:t>包，</w:t>
      </w:r>
      <w:r>
        <w:rPr>
          <w:rFonts w:hint="eastAsia" w:ascii="宋体" w:hAnsi="宋体" w:cs="宋体"/>
          <w:color w:val="auto"/>
          <w:sz w:val="24"/>
          <w:highlight w:val="none"/>
        </w:rPr>
        <w:t>应贵单位的要求我司将优先选择</w:t>
      </w:r>
      <w:r>
        <w:rPr>
          <w:rFonts w:hint="eastAsia" w:ascii="宋体" w:hAnsi="宋体" w:cs="宋体"/>
          <w:b/>
          <w:bCs/>
          <w:color w:val="auto"/>
          <w:sz w:val="24"/>
          <w:highlight w:val="none"/>
          <w:u w:val="single"/>
        </w:rPr>
        <w:t>（投标人所投的包号，按填写顺序优先）</w:t>
      </w:r>
      <w:r>
        <w:rPr>
          <w:rFonts w:hint="eastAsia" w:ascii="宋体" w:hAnsi="宋体" w:cs="宋体"/>
          <w:color w:val="auto"/>
          <w:sz w:val="24"/>
          <w:highlight w:val="none"/>
        </w:rPr>
        <w:t>包作为中标顺序</w:t>
      </w:r>
      <w:r>
        <w:rPr>
          <w:rFonts w:hint="eastAsia" w:ascii="宋体" w:hAnsi="宋体" w:cs="宋体"/>
          <w:b/>
          <w:bCs/>
          <w:color w:val="auto"/>
          <w:sz w:val="24"/>
          <w:highlight w:val="none"/>
        </w:rPr>
        <w:t>，</w:t>
      </w:r>
      <w:r>
        <w:rPr>
          <w:rFonts w:hint="eastAsia" w:ascii="宋体" w:hAnsi="宋体" w:cs="宋体"/>
          <w:color w:val="auto"/>
          <w:sz w:val="24"/>
          <w:highlight w:val="none"/>
        </w:rPr>
        <w:t>并且愿意放弃其它包的中标资格，由该包的第二中标候选人优先选择包号顺序中标。</w:t>
      </w:r>
    </w:p>
    <w:p>
      <w:pPr>
        <w:pStyle w:val="7"/>
        <w:shd w:val="clear" w:color="auto" w:fill="auto"/>
        <w:jc w:val="left"/>
        <w:rPr>
          <w:b/>
          <w:bCs/>
          <w:color w:val="auto"/>
          <w:highlight w:val="none"/>
        </w:rPr>
      </w:pPr>
      <w:r>
        <w:rPr>
          <w:rFonts w:hint="eastAsia" w:ascii="宋体" w:hAnsi="宋体" w:cs="宋体"/>
          <w:color w:val="auto"/>
          <w:sz w:val="24"/>
          <w:highlight w:val="none"/>
        </w:rPr>
        <w:t xml:space="preserve">  特此承诺</w:t>
      </w:r>
    </w:p>
    <w:p>
      <w:pPr>
        <w:pStyle w:val="7"/>
        <w:shd w:val="clear" w:color="auto" w:fill="auto"/>
        <w:spacing w:line="360" w:lineRule="auto"/>
        <w:jc w:val="left"/>
        <w:rPr>
          <w:b/>
          <w:bCs/>
          <w:color w:val="auto"/>
          <w:sz w:val="24"/>
          <w:highlight w:val="none"/>
        </w:rPr>
      </w:pPr>
      <w:r>
        <w:rPr>
          <w:rFonts w:hint="eastAsia"/>
          <w:b/>
          <w:bCs/>
          <w:color w:val="auto"/>
          <w:sz w:val="24"/>
          <w:highlight w:val="none"/>
        </w:rPr>
        <w:t>注：1、只参加一个包号投标的投标人无需做此承诺。</w:t>
      </w:r>
    </w:p>
    <w:p>
      <w:pPr>
        <w:numPr>
          <w:ilvl w:val="0"/>
          <w:numId w:val="13"/>
        </w:numPr>
        <w:shd w:val="clear" w:color="auto" w:fill="auto"/>
        <w:spacing w:line="360" w:lineRule="auto"/>
        <w:jc w:val="left"/>
        <w:rPr>
          <w:b/>
          <w:bCs/>
          <w:color w:val="auto"/>
          <w:sz w:val="24"/>
          <w:highlight w:val="none"/>
        </w:rPr>
      </w:pPr>
      <w:r>
        <w:rPr>
          <w:rFonts w:hint="eastAsia"/>
          <w:b/>
          <w:bCs/>
          <w:color w:val="auto"/>
          <w:sz w:val="24"/>
          <w:highlight w:val="none"/>
        </w:rPr>
        <w:t>参加两个包号投标的，需如实填写括号里面的包号，否则评标委员会将有权按照包号顺序确定中标人的包号。</w:t>
      </w:r>
    </w:p>
    <w:p>
      <w:pPr>
        <w:pStyle w:val="7"/>
        <w:numPr>
          <w:ilvl w:val="0"/>
          <w:numId w:val="13"/>
        </w:numPr>
        <w:shd w:val="clear" w:color="auto" w:fill="auto"/>
        <w:spacing w:line="360" w:lineRule="auto"/>
        <w:jc w:val="left"/>
        <w:rPr>
          <w:b/>
          <w:bCs/>
          <w:color w:val="auto"/>
          <w:sz w:val="24"/>
          <w:highlight w:val="none"/>
        </w:rPr>
      </w:pPr>
      <w:r>
        <w:rPr>
          <w:rFonts w:hint="eastAsia"/>
          <w:b/>
          <w:bCs/>
          <w:color w:val="auto"/>
          <w:sz w:val="24"/>
          <w:highlight w:val="none"/>
        </w:rPr>
        <w:t>投标人所中的所有包号中除了优先选择的包号，其余中标包号将由第二中标候选人顺延中标。</w:t>
      </w:r>
    </w:p>
    <w:p>
      <w:pPr>
        <w:numPr>
          <w:ilvl w:val="0"/>
          <w:numId w:val="13"/>
        </w:numPr>
        <w:shd w:val="clear" w:color="auto" w:fill="auto"/>
        <w:spacing w:line="360" w:lineRule="auto"/>
        <w:jc w:val="left"/>
        <w:rPr>
          <w:b/>
          <w:bCs/>
          <w:color w:val="auto"/>
          <w:sz w:val="24"/>
          <w:highlight w:val="none"/>
        </w:rPr>
      </w:pPr>
      <w:r>
        <w:rPr>
          <w:rFonts w:hint="eastAsia"/>
          <w:b/>
          <w:bCs/>
          <w:color w:val="auto"/>
          <w:sz w:val="24"/>
          <w:highlight w:val="none"/>
        </w:rPr>
        <w:t>优先选择包号：如贵公司同时投标A</w:t>
      </w:r>
      <w:r>
        <w:rPr>
          <w:rFonts w:hint="eastAsia"/>
          <w:b/>
          <w:bCs/>
          <w:color w:val="auto"/>
          <w:sz w:val="24"/>
          <w:highlight w:val="none"/>
          <w:lang w:eastAsia="zh-CN"/>
        </w:rPr>
        <w:t>、</w:t>
      </w:r>
      <w:r>
        <w:rPr>
          <w:rFonts w:hint="eastAsia"/>
          <w:b/>
          <w:bCs/>
          <w:color w:val="auto"/>
          <w:sz w:val="24"/>
          <w:highlight w:val="none"/>
        </w:rPr>
        <w:t>B包，贵公司有幸全部中标，则优先选</w:t>
      </w:r>
      <w:r>
        <w:rPr>
          <w:rFonts w:hint="eastAsia"/>
          <w:b/>
          <w:bCs/>
          <w:color w:val="auto"/>
          <w:sz w:val="24"/>
          <w:highlight w:val="none"/>
          <w:lang w:val="en-US" w:eastAsia="zh-CN"/>
        </w:rPr>
        <w:t>A/B</w:t>
      </w:r>
      <w:r>
        <w:rPr>
          <w:rFonts w:hint="eastAsia"/>
          <w:b/>
          <w:bCs/>
          <w:color w:val="auto"/>
          <w:sz w:val="24"/>
          <w:highlight w:val="none"/>
        </w:rPr>
        <w:t>包，其余由第二中标人的优先选择包号顺序中标。</w:t>
      </w:r>
    </w:p>
    <w:p>
      <w:pPr>
        <w:pStyle w:val="7"/>
        <w:shd w:val="clear" w:color="auto" w:fill="auto"/>
        <w:ind w:left="420"/>
        <w:jc w:val="left"/>
        <w:rPr>
          <w:color w:val="auto"/>
          <w:highlight w:val="none"/>
        </w:rPr>
      </w:pPr>
    </w:p>
    <w:p>
      <w:pPr>
        <w:pStyle w:val="7"/>
        <w:shd w:val="clear" w:color="auto" w:fill="auto"/>
        <w:ind w:firstLine="480"/>
        <w:jc w:val="left"/>
        <w:rPr>
          <w:color w:val="auto"/>
          <w:highlight w:val="none"/>
        </w:rPr>
      </w:pPr>
    </w:p>
    <w:p>
      <w:pPr>
        <w:shd w:val="clear" w:color="auto" w:fill="auto"/>
        <w:adjustRightInd w:val="0"/>
        <w:snapToGrid w:val="0"/>
        <w:spacing w:line="720" w:lineRule="auto"/>
        <w:ind w:right="340" w:rightChars="100"/>
        <w:jc w:val="right"/>
        <w:rPr>
          <w:color w:val="auto"/>
          <w:sz w:val="24"/>
          <w:highlight w:val="none"/>
          <w:u w:val="single"/>
        </w:rPr>
      </w:pPr>
      <w:r>
        <w:rPr>
          <w:rFonts w:hint="eastAsia"/>
          <w:color w:val="auto"/>
          <w:highlight w:val="none"/>
        </w:rPr>
        <w:t xml:space="preserve">     </w:t>
      </w:r>
      <w:r>
        <w:rPr>
          <w:rFonts w:hint="eastAsia"/>
          <w:color w:val="auto"/>
          <w:sz w:val="24"/>
          <w:highlight w:val="none"/>
        </w:rPr>
        <w:t>投标人</w:t>
      </w:r>
      <w:r>
        <w:rPr>
          <w:rFonts w:hint="eastAsia"/>
          <w:iCs/>
          <w:color w:val="auto"/>
          <w:sz w:val="24"/>
          <w:highlight w:val="none"/>
        </w:rPr>
        <w:t>名称</w:t>
      </w:r>
      <w:r>
        <w:rPr>
          <w:rFonts w:hint="eastAsia"/>
          <w:color w:val="auto"/>
          <w:sz w:val="24"/>
          <w:highlight w:val="none"/>
        </w:rPr>
        <w:t>：</w:t>
      </w:r>
      <w:r>
        <w:rPr>
          <w:rFonts w:hint="eastAsia"/>
          <w:color w:val="auto"/>
          <w:sz w:val="24"/>
          <w:highlight w:val="none"/>
          <w:u w:val="single"/>
        </w:rPr>
        <w:t xml:space="preserve">                            （公章）</w:t>
      </w:r>
    </w:p>
    <w:p>
      <w:pPr>
        <w:shd w:val="clear" w:color="auto" w:fill="auto"/>
        <w:adjustRightInd w:val="0"/>
        <w:snapToGrid w:val="0"/>
        <w:spacing w:line="720" w:lineRule="auto"/>
        <w:ind w:right="340" w:rightChars="100" w:firstLine="720" w:firstLineChars="300"/>
        <w:jc w:val="right"/>
        <w:rPr>
          <w:color w:val="auto"/>
          <w:sz w:val="24"/>
          <w:highlight w:val="none"/>
        </w:rPr>
      </w:pPr>
      <w:r>
        <w:rPr>
          <w:rFonts w:hint="eastAsia"/>
          <w:color w:val="auto"/>
          <w:sz w:val="24"/>
          <w:highlight w:val="none"/>
        </w:rPr>
        <w:t>法定代表人或被授权人：</w:t>
      </w:r>
      <w:r>
        <w:rPr>
          <w:rFonts w:hint="eastAsia"/>
          <w:color w:val="auto"/>
          <w:sz w:val="24"/>
          <w:highlight w:val="none"/>
          <w:u w:val="single"/>
        </w:rPr>
        <w:t xml:space="preserve">              </w:t>
      </w:r>
      <w:r>
        <w:rPr>
          <w:rFonts w:hint="eastAsia" w:ascii="宋体" w:hAnsi="宋体" w:cs="宋体"/>
          <w:bCs/>
          <w:color w:val="auto"/>
          <w:sz w:val="24"/>
          <w:highlight w:val="none"/>
          <w:u w:val="single"/>
          <w:lang w:val="en-GB"/>
        </w:rPr>
        <w:t>（亲笔签名）</w:t>
      </w:r>
    </w:p>
    <w:p>
      <w:pPr>
        <w:shd w:val="clear" w:color="auto" w:fill="auto"/>
        <w:spacing w:after="156" w:afterLines="50" w:line="440" w:lineRule="exact"/>
        <w:jc w:val="right"/>
        <w:rPr>
          <w:rFonts w:hint="eastAsia" w:ascii="宋体" w:hAnsi="宋体" w:cs="宋体"/>
          <w:b/>
          <w:bCs/>
          <w:color w:val="auto"/>
          <w:kern w:val="0"/>
          <w:sz w:val="36"/>
          <w:szCs w:val="36"/>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承诺日期：</w:t>
      </w:r>
      <w:r>
        <w:rPr>
          <w:rFonts w:hint="eastAsia" w:ascii="宋体" w:hAnsi="宋体" w:cs="宋体"/>
          <w:color w:val="auto"/>
          <w:sz w:val="24"/>
          <w:highlight w:val="none"/>
          <w:u w:val="single"/>
          <w:lang w:val="en-GB"/>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GB"/>
        </w:rPr>
        <w:t xml:space="preserve"> </w:t>
      </w:r>
      <w:r>
        <w:rPr>
          <w:rFonts w:hint="eastAsia" w:ascii="宋体" w:hAnsi="宋体" w:cs="宋体"/>
          <w:color w:val="auto"/>
          <w:sz w:val="24"/>
          <w:highlight w:val="none"/>
          <w:lang w:val="en-GB"/>
        </w:rPr>
        <w:t>年</w:t>
      </w:r>
      <w:r>
        <w:rPr>
          <w:rFonts w:hint="eastAsia" w:ascii="宋体" w:hAnsi="宋体" w:cs="宋体"/>
          <w:color w:val="auto"/>
          <w:sz w:val="24"/>
          <w:highlight w:val="none"/>
          <w:u w:val="single"/>
          <w:lang w:val="en-GB"/>
        </w:rPr>
        <w:t xml:space="preserve">    </w:t>
      </w:r>
      <w:r>
        <w:rPr>
          <w:rFonts w:hint="eastAsia" w:ascii="宋体" w:hAnsi="宋体" w:cs="宋体"/>
          <w:color w:val="auto"/>
          <w:sz w:val="24"/>
          <w:highlight w:val="none"/>
          <w:lang w:val="en-GB"/>
        </w:rPr>
        <w:t>月</w:t>
      </w:r>
      <w:r>
        <w:rPr>
          <w:rFonts w:hint="eastAsia" w:ascii="宋体" w:hAnsi="宋体" w:cs="宋体"/>
          <w:color w:val="auto"/>
          <w:sz w:val="24"/>
          <w:highlight w:val="none"/>
          <w:u w:val="single"/>
          <w:lang w:val="en-GB"/>
        </w:rPr>
        <w:t xml:space="preserve">    </w:t>
      </w:r>
      <w:r>
        <w:rPr>
          <w:rFonts w:hint="eastAsia" w:ascii="宋体" w:hAnsi="宋体" w:cs="宋体"/>
          <w:color w:val="auto"/>
          <w:sz w:val="24"/>
          <w:highlight w:val="none"/>
          <w:lang w:val="en-GB"/>
        </w:rPr>
        <w:t>日</w:t>
      </w:r>
    </w:p>
    <w:p>
      <w:pPr>
        <w:rPr>
          <w:rFonts w:hint="eastAsia" w:hAnsi="宋体"/>
          <w:b/>
          <w:color w:val="auto"/>
          <w:sz w:val="32"/>
          <w:szCs w:val="32"/>
          <w:highlight w:val="none"/>
        </w:rPr>
      </w:pPr>
      <w:r>
        <w:rPr>
          <w:rFonts w:hint="eastAsia" w:hAnsi="宋体"/>
          <w:b/>
          <w:color w:val="auto"/>
          <w:sz w:val="32"/>
          <w:szCs w:val="32"/>
          <w:highlight w:val="none"/>
        </w:rPr>
        <w:br w:type="page"/>
      </w:r>
    </w:p>
    <w:p>
      <w:pPr>
        <w:pStyle w:val="7"/>
        <w:rPr>
          <w:rFonts w:hint="eastAsia"/>
          <w:color w:val="auto"/>
        </w:rPr>
      </w:pPr>
    </w:p>
    <w:p>
      <w:pPr>
        <w:numPr>
          <w:ilvl w:val="0"/>
          <w:numId w:val="0"/>
        </w:numPr>
        <w:snapToGrid w:val="0"/>
        <w:spacing w:line="360" w:lineRule="auto"/>
        <w:jc w:val="center"/>
        <w:outlineLvl w:val="0"/>
        <w:rPr>
          <w:rFonts w:hint="eastAsia" w:hAnsi="宋体"/>
          <w:b/>
          <w:color w:val="auto"/>
          <w:sz w:val="32"/>
          <w:szCs w:val="32"/>
          <w:highlight w:val="none"/>
        </w:rPr>
      </w:pPr>
      <w:r>
        <w:rPr>
          <w:rFonts w:hint="eastAsia" w:hAnsi="宋体"/>
          <w:b/>
          <w:color w:val="auto"/>
          <w:sz w:val="32"/>
          <w:szCs w:val="32"/>
          <w:highlight w:val="none"/>
          <w:lang w:val="en-US" w:eastAsia="zh-CN"/>
        </w:rPr>
        <w:t>七、</w:t>
      </w:r>
      <w:r>
        <w:rPr>
          <w:rFonts w:hint="eastAsia" w:hAnsi="宋体"/>
          <w:b/>
          <w:color w:val="auto"/>
          <w:sz w:val="32"/>
          <w:szCs w:val="32"/>
          <w:highlight w:val="none"/>
        </w:rPr>
        <w:t>项目方案（格式自拟）</w:t>
      </w:r>
      <w:bookmarkEnd w:id="115"/>
    </w:p>
    <w:p>
      <w:pPr>
        <w:pStyle w:val="2"/>
        <w:ind w:left="0" w:leftChars="0" w:firstLine="0" w:firstLineChars="0"/>
        <w:rPr>
          <w:rFonts w:hint="eastAsia" w:hAnsi="宋体"/>
          <w:b/>
          <w:color w:val="auto"/>
          <w:sz w:val="32"/>
          <w:szCs w:val="32"/>
          <w:highlight w:val="none"/>
        </w:rPr>
      </w:pPr>
      <w:r>
        <w:rPr>
          <w:rFonts w:hint="eastAsia" w:hAnsi="宋体"/>
          <w:b/>
          <w:color w:val="auto"/>
          <w:sz w:val="32"/>
          <w:szCs w:val="32"/>
          <w:highlight w:val="none"/>
        </w:rPr>
        <w:br w:type="page"/>
      </w:r>
    </w:p>
    <w:p>
      <w:pPr>
        <w:numPr>
          <w:ilvl w:val="0"/>
          <w:numId w:val="0"/>
        </w:numPr>
        <w:snapToGrid w:val="0"/>
        <w:spacing w:line="360" w:lineRule="auto"/>
        <w:jc w:val="center"/>
        <w:outlineLvl w:val="0"/>
        <w:rPr>
          <w:rFonts w:hint="eastAsia" w:hAnsi="宋体"/>
          <w:b/>
          <w:color w:val="auto"/>
          <w:sz w:val="32"/>
          <w:szCs w:val="32"/>
          <w:highlight w:val="none"/>
        </w:rPr>
      </w:pPr>
      <w:bookmarkStart w:id="116" w:name="_Toc26138"/>
      <w:r>
        <w:rPr>
          <w:rFonts w:hint="eastAsia" w:hAnsi="宋体"/>
          <w:b/>
          <w:color w:val="auto"/>
          <w:sz w:val="32"/>
          <w:szCs w:val="32"/>
          <w:highlight w:val="none"/>
          <w:lang w:val="en-US" w:eastAsia="zh-CN"/>
        </w:rPr>
        <w:t>八、</w:t>
      </w:r>
      <w:r>
        <w:rPr>
          <w:rFonts w:hint="eastAsia" w:hAnsi="宋体"/>
          <w:b/>
          <w:color w:val="auto"/>
          <w:sz w:val="32"/>
          <w:szCs w:val="32"/>
          <w:highlight w:val="none"/>
        </w:rPr>
        <w:t>供应商认为需要提供的其他材料</w:t>
      </w:r>
      <w:bookmarkEnd w:id="116"/>
    </w:p>
    <w:p>
      <w:pPr>
        <w:rPr>
          <w:color w:val="auto"/>
          <w:highlight w:val="none"/>
        </w:rPr>
      </w:pPr>
    </w:p>
    <w:sectPr>
      <w:footerReference r:id="rId9" w:type="default"/>
      <w:pgSz w:w="11906" w:h="16838"/>
      <w:pgMar w:top="1440" w:right="16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drawing>
        <wp:inline distT="0" distB="0" distL="114300" distR="114300">
          <wp:extent cx="1001395" cy="661670"/>
          <wp:effectExtent l="0" t="0" r="8255" b="5080"/>
          <wp:docPr id="5" name="图片 2" descr="0b30667dcfc9b171d22c92864c1ec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0b30667dcfc9b171d22c92864c1ece5"/>
                  <pic:cNvPicPr>
                    <a:picLocks noChangeAspect="1"/>
                  </pic:cNvPicPr>
                </pic:nvPicPr>
                <pic:blipFill>
                  <a:blip r:embed="rId1"/>
                  <a:stretch>
                    <a:fillRect/>
                  </a:stretch>
                </pic:blipFill>
                <pic:spPr>
                  <a:xfrm>
                    <a:off x="0" y="0"/>
                    <a:ext cx="1001395" cy="661670"/>
                  </a:xfrm>
                  <a:prstGeom prst="rect">
                    <a:avLst/>
                  </a:prstGeom>
                  <a:noFill/>
                  <a:ln>
                    <a:noFill/>
                  </a:ln>
                </pic:spPr>
              </pic:pic>
            </a:graphicData>
          </a:graphic>
        </wp:inline>
      </w:drawing>
    </w:r>
    <w:r>
      <w:rPr>
        <w:rFonts w:hint="eastAsia"/>
        <w:b/>
        <w:bCs/>
        <w:sz w:val="32"/>
        <w:szCs w:val="32"/>
      </w:rPr>
      <w:t xml:space="preserve">海南和顺项目管理有限公司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5B5F8"/>
    <w:multiLevelType w:val="singleLevel"/>
    <w:tmpl w:val="B435B5F8"/>
    <w:lvl w:ilvl="0" w:tentative="0">
      <w:start w:val="7"/>
      <w:numFmt w:val="chineseCounting"/>
      <w:suff w:val="nothing"/>
      <w:lvlText w:val="%1、"/>
      <w:lvlJc w:val="left"/>
      <w:rPr>
        <w:rFonts w:hint="eastAsia"/>
      </w:rPr>
    </w:lvl>
  </w:abstractNum>
  <w:abstractNum w:abstractNumId="1">
    <w:nsid w:val="F87445C6"/>
    <w:multiLevelType w:val="singleLevel"/>
    <w:tmpl w:val="F87445C6"/>
    <w:lvl w:ilvl="0" w:tentative="0">
      <w:start w:val="2"/>
      <w:numFmt w:val="decimal"/>
      <w:suff w:val="nothing"/>
      <w:lvlText w:val="%1、"/>
      <w:lvlJc w:val="left"/>
    </w:lvl>
  </w:abstractNum>
  <w:abstractNum w:abstractNumId="2">
    <w:nsid w:val="0000000B"/>
    <w:multiLevelType w:val="multilevel"/>
    <w:tmpl w:val="0000000B"/>
    <w:lvl w:ilvl="0" w:tentative="0">
      <w:start w:val="1"/>
      <w:numFmt w:val="decimal"/>
      <w:lvlText w:val="%1."/>
      <w:lvlJc w:val="left"/>
      <w:pPr>
        <w:tabs>
          <w:tab w:val="left" w:pos="855"/>
        </w:tabs>
        <w:ind w:left="85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1"/>
    <w:multiLevelType w:val="multilevel"/>
    <w:tmpl w:val="00000011"/>
    <w:lvl w:ilvl="0" w:tentative="0">
      <w:start w:val="1"/>
      <w:numFmt w:val="decimal"/>
      <w:lvlText w:val="%1."/>
      <w:lvlJc w:val="left"/>
      <w:pPr>
        <w:tabs>
          <w:tab w:val="left" w:pos="420"/>
        </w:tabs>
        <w:ind w:left="420" w:hanging="420"/>
      </w:pPr>
      <w:rPr>
        <w:rFonts w:hint="eastAsia" w:cs="Times New Roman"/>
        <w:b w:val="0"/>
        <w:i w:val="0"/>
        <w:sz w:val="24"/>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4">
    <w:nsid w:val="00000016"/>
    <w:multiLevelType w:val="multilevel"/>
    <w:tmpl w:val="00000016"/>
    <w:lvl w:ilvl="0" w:tentative="0">
      <w:start w:val="2"/>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color w:val="auto"/>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047B807E"/>
    <w:multiLevelType w:val="singleLevel"/>
    <w:tmpl w:val="047B807E"/>
    <w:lvl w:ilvl="0" w:tentative="0">
      <w:start w:val="2"/>
      <w:numFmt w:val="decimal"/>
      <w:suff w:val="nothing"/>
      <w:lvlText w:val="%1、"/>
      <w:lvlJc w:val="left"/>
      <w:pPr>
        <w:ind w:left="420" w:firstLine="0"/>
      </w:pPr>
    </w:lvl>
  </w:abstractNum>
  <w:abstractNum w:abstractNumId="6">
    <w:nsid w:val="22583DB3"/>
    <w:multiLevelType w:val="multilevel"/>
    <w:tmpl w:val="22583DB3"/>
    <w:lvl w:ilvl="0" w:tentative="0">
      <w:start w:val="1"/>
      <w:numFmt w:val="chineseCountingThousand"/>
      <w:pStyle w:val="24"/>
      <w:lvlText w:val="(%1)"/>
      <w:lvlJc w:val="left"/>
      <w:pPr>
        <w:ind w:left="420" w:hanging="420"/>
      </w:pPr>
    </w:lvl>
    <w:lvl w:ilvl="1" w:tentative="0">
      <w:start w:val="2"/>
      <w:numFmt w:val="japaneseCounting"/>
      <w:lvlText w:val="%2、"/>
      <w:lvlJc w:val="left"/>
      <w:pPr>
        <w:ind w:left="87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E2694"/>
    <w:multiLevelType w:val="multilevel"/>
    <w:tmpl w:val="483E2694"/>
    <w:lvl w:ilvl="0" w:tentative="0">
      <w:start w:val="1"/>
      <w:numFmt w:val="decimal"/>
      <w:pStyle w:val="22"/>
      <w:suff w:val="nothing"/>
      <w:lvlText w:val="%1、"/>
      <w:lvlJc w:val="left"/>
      <w:pPr>
        <w:ind w:left="0" w:firstLine="0"/>
      </w:pPr>
      <w:rPr>
        <w:b/>
      </w:rPr>
    </w:lvl>
    <w:lvl w:ilvl="1" w:tentative="0">
      <w:start w:val="0"/>
      <w:numFmt w:val="bullet"/>
      <w:lvlText w:val="★"/>
      <w:lvlJc w:val="left"/>
      <w:pPr>
        <w:ind w:left="780" w:hanging="360"/>
      </w:pPr>
      <w:rPr>
        <w:rFonts w:hint="eastAsia" w:ascii="宋体" w:hAnsi="宋体" w:eastAsia="宋体" w:cs="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9044A0"/>
    <w:multiLevelType w:val="singleLevel"/>
    <w:tmpl w:val="579044A0"/>
    <w:lvl w:ilvl="0" w:tentative="0">
      <w:start w:val="2"/>
      <w:numFmt w:val="decimal"/>
      <w:suff w:val="space"/>
      <w:lvlText w:val="%1."/>
      <w:lvlJc w:val="left"/>
      <w:rPr>
        <w:rFonts w:cs="Times New Roman"/>
      </w:rPr>
    </w:lvl>
  </w:abstractNum>
  <w:abstractNum w:abstractNumId="9">
    <w:nsid w:val="57904CB8"/>
    <w:multiLevelType w:val="singleLevel"/>
    <w:tmpl w:val="57904CB8"/>
    <w:lvl w:ilvl="0" w:tentative="0">
      <w:start w:val="32"/>
      <w:numFmt w:val="decimal"/>
      <w:suff w:val="space"/>
      <w:lvlText w:val="%1."/>
      <w:lvlJc w:val="left"/>
      <w:rPr>
        <w:rFonts w:cs="Times New Roman"/>
      </w:rPr>
    </w:lvl>
  </w:abstractNum>
  <w:abstractNum w:abstractNumId="10">
    <w:nsid w:val="57905C2A"/>
    <w:multiLevelType w:val="singleLevel"/>
    <w:tmpl w:val="57905C2A"/>
    <w:lvl w:ilvl="0" w:tentative="0">
      <w:start w:val="1"/>
      <w:numFmt w:val="decimal"/>
      <w:lvlText w:val="%1)"/>
      <w:lvlJc w:val="left"/>
      <w:pPr>
        <w:tabs>
          <w:tab w:val="left" w:pos="425"/>
        </w:tabs>
        <w:ind w:left="425" w:hanging="425"/>
      </w:pPr>
      <w:rPr>
        <w:rFonts w:hint="default" w:cs="Times New Roman"/>
      </w:rPr>
    </w:lvl>
  </w:abstractNum>
  <w:abstractNum w:abstractNumId="11">
    <w:nsid w:val="57905C87"/>
    <w:multiLevelType w:val="singleLevel"/>
    <w:tmpl w:val="57905C87"/>
    <w:lvl w:ilvl="0" w:tentative="0">
      <w:start w:val="1"/>
      <w:numFmt w:val="decimal"/>
      <w:lvlText w:val="%1."/>
      <w:lvlJc w:val="left"/>
      <w:pPr>
        <w:tabs>
          <w:tab w:val="left" w:pos="425"/>
        </w:tabs>
        <w:ind w:left="425" w:hanging="425"/>
      </w:pPr>
      <w:rPr>
        <w:rFonts w:hint="default" w:cs="Times New Roman"/>
      </w:rPr>
    </w:lvl>
  </w:abstractNum>
  <w:abstractNum w:abstractNumId="12">
    <w:nsid w:val="58DB2102"/>
    <w:multiLevelType w:val="singleLevel"/>
    <w:tmpl w:val="58DB2102"/>
    <w:lvl w:ilvl="0" w:tentative="0">
      <w:start w:val="1"/>
      <w:numFmt w:val="chineseCounting"/>
      <w:suff w:val="space"/>
      <w:lvlText w:val="第%1章"/>
      <w:lvlJc w:val="left"/>
      <w:rPr>
        <w:rFonts w:cs="Times New Roman"/>
      </w:rPr>
    </w:lvl>
  </w:abstractNum>
  <w:num w:numId="1">
    <w:abstractNumId w:val="7"/>
  </w:num>
  <w:num w:numId="2">
    <w:abstractNumId w:val="6"/>
  </w:num>
  <w:num w:numId="3">
    <w:abstractNumId w:val="2"/>
  </w:num>
  <w:num w:numId="4">
    <w:abstractNumId w:val="3"/>
  </w:num>
  <w:num w:numId="5">
    <w:abstractNumId w:val="8"/>
  </w:num>
  <w:num w:numId="6">
    <w:abstractNumId w:val="4"/>
  </w:num>
  <w:num w:numId="7">
    <w:abstractNumId w:val="12"/>
  </w:num>
  <w:num w:numId="8">
    <w:abstractNumId w:val="9"/>
  </w:num>
  <w:num w:numId="9">
    <w:abstractNumId w:val="10"/>
  </w:num>
  <w:num w:numId="10">
    <w:abstractNumId w:val="11"/>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YjA3NzA0YzQ5OThlM2EyZTkxNzAzMGIwMjRkOGEifQ=="/>
  </w:docVars>
  <w:rsids>
    <w:rsidRoot w:val="37024984"/>
    <w:rsid w:val="005C38B4"/>
    <w:rsid w:val="00E84814"/>
    <w:rsid w:val="026D5C3B"/>
    <w:rsid w:val="03F97C64"/>
    <w:rsid w:val="04335DA6"/>
    <w:rsid w:val="049A0203"/>
    <w:rsid w:val="06530982"/>
    <w:rsid w:val="065B0A0F"/>
    <w:rsid w:val="09353038"/>
    <w:rsid w:val="0940682A"/>
    <w:rsid w:val="096F7CE4"/>
    <w:rsid w:val="09736C45"/>
    <w:rsid w:val="09CD7AEC"/>
    <w:rsid w:val="0B106A7D"/>
    <w:rsid w:val="0BD573DC"/>
    <w:rsid w:val="0CBF1D46"/>
    <w:rsid w:val="0D124B47"/>
    <w:rsid w:val="0DC14423"/>
    <w:rsid w:val="0F2509E1"/>
    <w:rsid w:val="104A6951"/>
    <w:rsid w:val="11551A52"/>
    <w:rsid w:val="122951DE"/>
    <w:rsid w:val="12554CD9"/>
    <w:rsid w:val="129E0B34"/>
    <w:rsid w:val="14D709D0"/>
    <w:rsid w:val="15981F0D"/>
    <w:rsid w:val="162B066C"/>
    <w:rsid w:val="184577B0"/>
    <w:rsid w:val="18F5280B"/>
    <w:rsid w:val="1A18361C"/>
    <w:rsid w:val="1BC12CC5"/>
    <w:rsid w:val="1C3F01C9"/>
    <w:rsid w:val="1C422BD3"/>
    <w:rsid w:val="1CEC2B3E"/>
    <w:rsid w:val="1E2D469C"/>
    <w:rsid w:val="1EE937D9"/>
    <w:rsid w:val="1EFD2665"/>
    <w:rsid w:val="1F1971FE"/>
    <w:rsid w:val="1F78690B"/>
    <w:rsid w:val="1FC739A8"/>
    <w:rsid w:val="200C32BA"/>
    <w:rsid w:val="210743EB"/>
    <w:rsid w:val="21425423"/>
    <w:rsid w:val="219C3838"/>
    <w:rsid w:val="21B856E5"/>
    <w:rsid w:val="22302A17"/>
    <w:rsid w:val="22FC0DB7"/>
    <w:rsid w:val="23024E6A"/>
    <w:rsid w:val="236773C3"/>
    <w:rsid w:val="247E2C16"/>
    <w:rsid w:val="26233A01"/>
    <w:rsid w:val="262E5F76"/>
    <w:rsid w:val="267C13D7"/>
    <w:rsid w:val="26926505"/>
    <w:rsid w:val="27A14C1E"/>
    <w:rsid w:val="28463A4A"/>
    <w:rsid w:val="2AD0584D"/>
    <w:rsid w:val="2CB456D8"/>
    <w:rsid w:val="2D236108"/>
    <w:rsid w:val="2E66387D"/>
    <w:rsid w:val="2EC851B9"/>
    <w:rsid w:val="2F204FF5"/>
    <w:rsid w:val="2F776BDF"/>
    <w:rsid w:val="30913CD1"/>
    <w:rsid w:val="30E3277E"/>
    <w:rsid w:val="32963C6D"/>
    <w:rsid w:val="348639E4"/>
    <w:rsid w:val="35040F15"/>
    <w:rsid w:val="35840533"/>
    <w:rsid w:val="360A4309"/>
    <w:rsid w:val="36D721C1"/>
    <w:rsid w:val="37011D0F"/>
    <w:rsid w:val="37024984"/>
    <w:rsid w:val="374101FF"/>
    <w:rsid w:val="378123A9"/>
    <w:rsid w:val="38162909"/>
    <w:rsid w:val="38682F66"/>
    <w:rsid w:val="38CF35E8"/>
    <w:rsid w:val="391F447A"/>
    <w:rsid w:val="3930278C"/>
    <w:rsid w:val="396D1FFB"/>
    <w:rsid w:val="39A123C4"/>
    <w:rsid w:val="3A314603"/>
    <w:rsid w:val="3ADB182A"/>
    <w:rsid w:val="3B4E3123"/>
    <w:rsid w:val="3C5462DE"/>
    <w:rsid w:val="3D392D3C"/>
    <w:rsid w:val="3E2D328B"/>
    <w:rsid w:val="3F1955BD"/>
    <w:rsid w:val="3F5E1222"/>
    <w:rsid w:val="3F682142"/>
    <w:rsid w:val="3F723780"/>
    <w:rsid w:val="421A4DCB"/>
    <w:rsid w:val="42733098"/>
    <w:rsid w:val="42F33D9B"/>
    <w:rsid w:val="42FC75D2"/>
    <w:rsid w:val="43B12268"/>
    <w:rsid w:val="445D419E"/>
    <w:rsid w:val="44D423A3"/>
    <w:rsid w:val="45943BEF"/>
    <w:rsid w:val="46F965FE"/>
    <w:rsid w:val="47D634AE"/>
    <w:rsid w:val="47E6155B"/>
    <w:rsid w:val="487E46E3"/>
    <w:rsid w:val="49262DB0"/>
    <w:rsid w:val="4A0330F2"/>
    <w:rsid w:val="4AAF1C71"/>
    <w:rsid w:val="4AB35473"/>
    <w:rsid w:val="4D1F46E6"/>
    <w:rsid w:val="4DC40DEA"/>
    <w:rsid w:val="4E4A12EF"/>
    <w:rsid w:val="4E7520E4"/>
    <w:rsid w:val="4EBD2198"/>
    <w:rsid w:val="4F55619D"/>
    <w:rsid w:val="4F7A008B"/>
    <w:rsid w:val="4FD277EE"/>
    <w:rsid w:val="50AC75B7"/>
    <w:rsid w:val="50E64AA2"/>
    <w:rsid w:val="51270C8E"/>
    <w:rsid w:val="51D26584"/>
    <w:rsid w:val="529345D6"/>
    <w:rsid w:val="52AB4326"/>
    <w:rsid w:val="545E3D46"/>
    <w:rsid w:val="54640C31"/>
    <w:rsid w:val="55F00DA2"/>
    <w:rsid w:val="584A285B"/>
    <w:rsid w:val="5A551B9B"/>
    <w:rsid w:val="5AAC1E80"/>
    <w:rsid w:val="5B070568"/>
    <w:rsid w:val="5CE32F64"/>
    <w:rsid w:val="5D4810F0"/>
    <w:rsid w:val="5E0674B7"/>
    <w:rsid w:val="5E40270F"/>
    <w:rsid w:val="5F065063"/>
    <w:rsid w:val="5F333BC5"/>
    <w:rsid w:val="6018021B"/>
    <w:rsid w:val="60FF767B"/>
    <w:rsid w:val="62AB377A"/>
    <w:rsid w:val="63A70B3A"/>
    <w:rsid w:val="63F87F17"/>
    <w:rsid w:val="64253202"/>
    <w:rsid w:val="647E5D3F"/>
    <w:rsid w:val="648F1CFA"/>
    <w:rsid w:val="65DD0843"/>
    <w:rsid w:val="67650AF0"/>
    <w:rsid w:val="67E934CF"/>
    <w:rsid w:val="690070AC"/>
    <w:rsid w:val="6A674B7F"/>
    <w:rsid w:val="6A75729C"/>
    <w:rsid w:val="6C164AAF"/>
    <w:rsid w:val="6D7E5DF9"/>
    <w:rsid w:val="6DCC7B1B"/>
    <w:rsid w:val="6ED820F9"/>
    <w:rsid w:val="6F71097A"/>
    <w:rsid w:val="70343755"/>
    <w:rsid w:val="706409F3"/>
    <w:rsid w:val="70FE623D"/>
    <w:rsid w:val="71E52F59"/>
    <w:rsid w:val="7329331A"/>
    <w:rsid w:val="738C15F1"/>
    <w:rsid w:val="74005519"/>
    <w:rsid w:val="7489069B"/>
    <w:rsid w:val="751029E3"/>
    <w:rsid w:val="75E83799"/>
    <w:rsid w:val="76EC2FDC"/>
    <w:rsid w:val="777F755B"/>
    <w:rsid w:val="782642CC"/>
    <w:rsid w:val="79E816E6"/>
    <w:rsid w:val="7A023763"/>
    <w:rsid w:val="7A0F2E55"/>
    <w:rsid w:val="7A2E56DD"/>
    <w:rsid w:val="7BB8047F"/>
    <w:rsid w:val="7C2A05D1"/>
    <w:rsid w:val="7CB65C1E"/>
    <w:rsid w:val="7D2F777E"/>
    <w:rsid w:val="7E0806FB"/>
    <w:rsid w:val="7ECA3C03"/>
    <w:rsid w:val="7F41402A"/>
    <w:rsid w:val="7FC5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autoRedefine/>
    <w:qFormat/>
    <w:uiPriority w:val="99"/>
    <w:pPr>
      <w:keepNext/>
      <w:keepLines/>
      <w:autoSpaceDE w:val="0"/>
      <w:autoSpaceDN w:val="0"/>
      <w:adjustRightInd w:val="0"/>
      <w:spacing w:before="240" w:after="120" w:line="300" w:lineRule="auto"/>
      <w:jc w:val="center"/>
      <w:outlineLvl w:val="0"/>
    </w:pPr>
    <w:rPr>
      <w:b/>
      <w:kern w:val="44"/>
      <w:sz w:val="20"/>
    </w:rPr>
  </w:style>
  <w:style w:type="paragraph" w:styleId="4">
    <w:name w:val="heading 2"/>
    <w:basedOn w:val="1"/>
    <w:next w:val="1"/>
    <w:autoRedefine/>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99"/>
    <w:pPr>
      <w:keepNext/>
      <w:keepLines/>
      <w:widowControl/>
      <w:spacing w:before="260" w:after="260" w:line="413" w:lineRule="auto"/>
      <w:jc w:val="left"/>
      <w:outlineLvl w:val="2"/>
    </w:pPr>
    <w:rPr>
      <w:rFonts w:ascii="Times New Roman"/>
      <w:b/>
      <w:sz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adjustRightInd w:val="0"/>
      <w:ind w:firstLine="420"/>
      <w:jc w:val="left"/>
    </w:pPr>
    <w:rPr>
      <w:sz w:val="24"/>
    </w:rPr>
  </w:style>
  <w:style w:type="paragraph" w:styleId="6">
    <w:name w:val="annotation text"/>
    <w:basedOn w:val="1"/>
    <w:autoRedefine/>
    <w:qFormat/>
    <w:uiPriority w:val="99"/>
    <w:pPr>
      <w:jc w:val="left"/>
    </w:pPr>
    <w:rPr>
      <w:sz w:val="20"/>
    </w:rPr>
  </w:style>
  <w:style w:type="paragraph" w:styleId="7">
    <w:name w:val="Body Text"/>
    <w:basedOn w:val="1"/>
    <w:next w:val="8"/>
    <w:autoRedefine/>
    <w:qFormat/>
    <w:uiPriority w:val="0"/>
    <w:pPr>
      <w:widowControl/>
      <w:spacing w:after="120"/>
      <w:jc w:val="left"/>
    </w:pPr>
    <w:rPr>
      <w:rFonts w:ascii="Times New Roman"/>
      <w:sz w:val="20"/>
    </w:rPr>
  </w:style>
  <w:style w:type="paragraph" w:styleId="8">
    <w:name w:val="Body Text First Indent"/>
    <w:basedOn w:val="7"/>
    <w:next w:val="1"/>
    <w:autoRedefine/>
    <w:qFormat/>
    <w:uiPriority w:val="0"/>
    <w:pPr>
      <w:ind w:firstLine="420" w:firstLineChars="100"/>
    </w:pPr>
    <w:rPr>
      <w:sz w:val="21"/>
      <w:szCs w:val="22"/>
    </w:rPr>
  </w:style>
  <w:style w:type="paragraph" w:styleId="9">
    <w:name w:val="Body Text Indent"/>
    <w:basedOn w:val="1"/>
    <w:next w:val="7"/>
    <w:autoRedefine/>
    <w:qFormat/>
    <w:uiPriority w:val="99"/>
    <w:pPr>
      <w:spacing w:after="120"/>
      <w:ind w:left="420" w:leftChars="200"/>
    </w:pPr>
    <w:rPr>
      <w:rFonts w:ascii="Times New Roman"/>
      <w:sz w:val="20"/>
    </w:rPr>
  </w:style>
  <w:style w:type="paragraph" w:styleId="10">
    <w:name w:val="Plain Text"/>
    <w:basedOn w:val="1"/>
    <w:autoRedefine/>
    <w:qFormat/>
    <w:uiPriority w:val="0"/>
    <w:rPr>
      <w:rFonts w:hAnsi="Courier New"/>
      <w:sz w:val="20"/>
    </w:rPr>
  </w:style>
  <w:style w:type="paragraph" w:styleId="11">
    <w:name w:val="footer"/>
    <w:basedOn w:val="1"/>
    <w:autoRedefine/>
    <w:qFormat/>
    <w:uiPriority w:val="99"/>
    <w:pPr>
      <w:tabs>
        <w:tab w:val="center" w:pos="4153"/>
        <w:tab w:val="right" w:pos="8306"/>
      </w:tabs>
      <w:autoSpaceDE w:val="0"/>
      <w:autoSpaceDN w:val="0"/>
      <w:adjustRightInd w:val="0"/>
      <w:snapToGrid w:val="0"/>
      <w:jc w:val="left"/>
    </w:pPr>
    <w:rPr>
      <w:sz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rFonts w:ascii="Times New Roman"/>
      <w:sz w:val="18"/>
    </w:rPr>
  </w:style>
  <w:style w:type="paragraph" w:styleId="13">
    <w:name w:val="Subtitle"/>
    <w:basedOn w:val="1"/>
    <w:next w:val="2"/>
    <w:autoRedefine/>
    <w:qFormat/>
    <w:uiPriority w:val="0"/>
    <w:pPr>
      <w:widowControl/>
      <w:spacing w:before="240" w:after="60" w:line="312" w:lineRule="auto"/>
      <w:jc w:val="center"/>
      <w:outlineLvl w:val="1"/>
    </w:pPr>
    <w:rPr>
      <w:rFonts w:ascii="Arial" w:hAnsi="Arial"/>
      <w:b/>
      <w:kern w:val="28"/>
      <w:sz w:val="20"/>
    </w:rPr>
  </w:style>
  <w:style w:type="paragraph" w:styleId="14">
    <w:name w:val="Body Text Indent 3"/>
    <w:basedOn w:val="1"/>
    <w:autoRedefine/>
    <w:qFormat/>
    <w:uiPriority w:val="99"/>
    <w:pPr>
      <w:spacing w:after="120"/>
      <w:ind w:left="420" w:leftChars="200"/>
    </w:pPr>
    <w:rPr>
      <w:sz w:val="16"/>
    </w:rPr>
  </w:style>
  <w:style w:type="paragraph" w:styleId="15">
    <w:name w:val="Normal (Web)"/>
    <w:basedOn w:val="1"/>
    <w:autoRedefine/>
    <w:unhideWhenUsed/>
    <w:qFormat/>
    <w:uiPriority w:val="99"/>
    <w:pPr>
      <w:jc w:val="left"/>
    </w:pPr>
    <w:rPr>
      <w:kern w:val="0"/>
      <w:sz w:val="24"/>
    </w:rPr>
  </w:style>
  <w:style w:type="paragraph" w:styleId="16">
    <w:name w:val="Body Text First Indent 2"/>
    <w:basedOn w:val="9"/>
    <w:autoRedefine/>
    <w:qFormat/>
    <w:uiPriority w:val="99"/>
    <w:pPr>
      <w:ind w:firstLine="420" w:firstLineChars="200"/>
    </w:pPr>
    <w:rPr>
      <w:rFonts w:ascii="Arial" w:hAnsi="Arial"/>
      <w:b/>
      <w:sz w:val="28"/>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 w:type="character" w:customStyle="1" w:styleId="21">
    <w:name w:val="font21"/>
    <w:basedOn w:val="19"/>
    <w:autoRedefine/>
    <w:qFormat/>
    <w:uiPriority w:val="0"/>
    <w:rPr>
      <w:rFonts w:ascii="Arial" w:hAnsi="Arial"/>
      <w:b/>
      <w:color w:val="000000"/>
      <w:sz w:val="24"/>
      <w:u w:val="none"/>
    </w:rPr>
  </w:style>
  <w:style w:type="paragraph" w:customStyle="1" w:styleId="22">
    <w:name w:val="3级"/>
    <w:basedOn w:val="23"/>
    <w:autoRedefine/>
    <w:qFormat/>
    <w:uiPriority w:val="0"/>
    <w:pPr>
      <w:numPr>
        <w:ilvl w:val="0"/>
        <w:numId w:val="1"/>
      </w:numPr>
      <w:ind w:firstLineChars="0"/>
      <w:outlineLvl w:val="2"/>
    </w:pPr>
    <w:rPr>
      <w:rFonts w:ascii="宋体" w:hAnsi="宋体"/>
      <w:color w:val="000000"/>
      <w:szCs w:val="21"/>
    </w:rPr>
  </w:style>
  <w:style w:type="paragraph" w:styleId="23">
    <w:name w:val="List Paragraph"/>
    <w:basedOn w:val="1"/>
    <w:autoRedefine/>
    <w:qFormat/>
    <w:uiPriority w:val="99"/>
    <w:pPr>
      <w:ind w:firstLine="420" w:firstLineChars="200"/>
    </w:pPr>
  </w:style>
  <w:style w:type="paragraph" w:customStyle="1" w:styleId="24">
    <w:name w:val="2级"/>
    <w:basedOn w:val="23"/>
    <w:autoRedefine/>
    <w:qFormat/>
    <w:uiPriority w:val="0"/>
    <w:pPr>
      <w:numPr>
        <w:ilvl w:val="0"/>
        <w:numId w:val="2"/>
      </w:numPr>
      <w:ind w:firstLine="0" w:firstLineChars="0"/>
      <w:jc w:val="left"/>
      <w:outlineLvl w:val="1"/>
    </w:pPr>
    <w:rPr>
      <w:b/>
      <w:szCs w:val="21"/>
    </w:rPr>
  </w:style>
  <w:style w:type="paragraph" w:customStyle="1" w:styleId="25">
    <w:name w:val="Default"/>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正文_1"/>
    <w:basedOn w:val="1"/>
    <w:autoRedefine/>
    <w:qFormat/>
    <w:uiPriority w:val="0"/>
    <w:rPr>
      <w:rFonts w:ascii="宋体"/>
      <w:kern w:val="0"/>
      <w:sz w:val="34"/>
      <w:szCs w:val="20"/>
    </w:rPr>
  </w:style>
  <w:style w:type="paragraph" w:customStyle="1" w:styleId="27">
    <w:name w:val="Body text|1"/>
    <w:basedOn w:val="1"/>
    <w:autoRedefine/>
    <w:qFormat/>
    <w:uiPriority w:val="0"/>
    <w:pPr>
      <w:widowControl w:val="0"/>
      <w:shd w:val="clear" w:color="auto" w:fill="auto"/>
      <w:spacing w:after="240" w:line="480" w:lineRule="auto"/>
      <w:ind w:firstLine="400"/>
    </w:pPr>
    <w:rPr>
      <w:rFonts w:ascii="宋体" w:hAnsi="宋体" w:eastAsia="宋体" w:cs="宋体"/>
      <w:u w:val="none"/>
      <w:shd w:val="clear" w:color="auto" w:fill="auto"/>
      <w:lang w:val="zh-TW" w:eastAsia="zh-TW" w:bidi="zh-TW"/>
    </w:rPr>
  </w:style>
  <w:style w:type="paragraph" w:customStyle="1" w:styleId="28">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29">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15896</Words>
  <Characters>16733</Characters>
  <Lines>0</Lines>
  <Paragraphs>0</Paragraphs>
  <TotalTime>9</TotalTime>
  <ScaleCrop>false</ScaleCrop>
  <LinksUpToDate>false</LinksUpToDate>
  <CharactersWithSpaces>17981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2023-06-12T08:20:00Z</dcterms:created>
  <dc:creator>li</dc:creator>
  <cp:lastModifiedBy>li</cp:lastModifiedBy>
  <cp:lastPrinted>2024-02-19T02:45:00Z</cp:lastPrinted>
  <dcterms:modified xsi:type="dcterms:W3CDTF">2024-03-01T08:34:58Z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41F9DCCC7FEA4C0C96A822BA15BE03B1_11</vt:lpwstr>
  </property>
</Properties>
</file>